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413" w:rsidRPr="00CF6413" w:rsidRDefault="00CF6413" w:rsidP="00CF6413">
      <w:pPr>
        <w:spacing w:before="161" w:after="0" w:line="240" w:lineRule="auto"/>
        <w:jc w:val="center"/>
        <w:outlineLvl w:val="0"/>
        <w:rPr>
          <w:rFonts w:ascii="Times New Roman" w:eastAsia="Times New Roman" w:hAnsi="Times New Roman" w:cs="Times New Roman"/>
          <w:b/>
          <w:bCs/>
          <w:color w:val="000000" w:themeColor="text1"/>
          <w:kern w:val="36"/>
          <w:sz w:val="28"/>
          <w:szCs w:val="24"/>
          <w:lang w:eastAsia="es-AR"/>
        </w:rPr>
      </w:pPr>
      <w:r w:rsidRPr="00CF6413">
        <w:rPr>
          <w:rFonts w:ascii="Times New Roman" w:eastAsia="Times New Roman" w:hAnsi="Times New Roman" w:cs="Times New Roman"/>
          <w:b/>
          <w:bCs/>
          <w:color w:val="000000" w:themeColor="text1"/>
          <w:kern w:val="36"/>
          <w:sz w:val="28"/>
          <w:szCs w:val="24"/>
          <w:lang w:eastAsia="es-AR"/>
        </w:rPr>
        <w:t>Fiebre de origen desconocido (FOD)</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Cs w:val="24"/>
          <w:lang w:eastAsia="es-AR"/>
        </w:rPr>
      </w:pPr>
      <w:r w:rsidRPr="00CF6413">
        <w:rPr>
          <w:rFonts w:ascii="Times New Roman" w:eastAsia="Times New Roman" w:hAnsi="Times New Roman" w:cs="Times New Roman"/>
          <w:b/>
          <w:bCs/>
          <w:color w:val="000000" w:themeColor="text1"/>
          <w:szCs w:val="24"/>
          <w:lang w:eastAsia="es-AR"/>
        </w:rPr>
        <w:t xml:space="preserve">Allan R. </w:t>
      </w:r>
      <w:proofErr w:type="spellStart"/>
      <w:r w:rsidRPr="00CF6413">
        <w:rPr>
          <w:rFonts w:ascii="Times New Roman" w:eastAsia="Times New Roman" w:hAnsi="Times New Roman" w:cs="Times New Roman"/>
          <w:b/>
          <w:bCs/>
          <w:color w:val="000000" w:themeColor="text1"/>
          <w:szCs w:val="24"/>
          <w:lang w:eastAsia="es-AR"/>
        </w:rPr>
        <w:t>Tunkel</w:t>
      </w:r>
      <w:proofErr w:type="spellEnd"/>
      <w:r w:rsidRPr="00CF6413">
        <w:rPr>
          <w:rFonts w:ascii="Times New Roman" w:eastAsia="Times New Roman" w:hAnsi="Times New Roman" w:cs="Times New Roman"/>
          <w:b/>
          <w:bCs/>
          <w:color w:val="000000" w:themeColor="text1"/>
          <w:szCs w:val="24"/>
          <w:lang w:eastAsia="es-AR"/>
        </w:rPr>
        <w:t xml:space="preserve">, MD, </w:t>
      </w:r>
      <w:proofErr w:type="spellStart"/>
      <w:r w:rsidRPr="00CF6413">
        <w:rPr>
          <w:rFonts w:ascii="Times New Roman" w:eastAsia="Times New Roman" w:hAnsi="Times New Roman" w:cs="Times New Roman"/>
          <w:b/>
          <w:bCs/>
          <w:color w:val="000000" w:themeColor="text1"/>
          <w:szCs w:val="24"/>
          <w:lang w:eastAsia="es-AR"/>
        </w:rPr>
        <w:t>PhD</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Professor</w:t>
      </w:r>
      <w:proofErr w:type="spellEnd"/>
      <w:r w:rsidRPr="00CF6413">
        <w:rPr>
          <w:rFonts w:ascii="Times New Roman" w:eastAsia="Times New Roman" w:hAnsi="Times New Roman" w:cs="Times New Roman"/>
          <w:b/>
          <w:bCs/>
          <w:color w:val="000000" w:themeColor="text1"/>
          <w:szCs w:val="24"/>
          <w:lang w:eastAsia="es-AR"/>
        </w:rPr>
        <w:t xml:space="preserve"> of Medicine and </w:t>
      </w:r>
      <w:proofErr w:type="spellStart"/>
      <w:r w:rsidRPr="00CF6413">
        <w:rPr>
          <w:rFonts w:ascii="Times New Roman" w:eastAsia="Times New Roman" w:hAnsi="Times New Roman" w:cs="Times New Roman"/>
          <w:b/>
          <w:bCs/>
          <w:color w:val="000000" w:themeColor="text1"/>
          <w:szCs w:val="24"/>
          <w:lang w:eastAsia="es-AR"/>
        </w:rPr>
        <w:t>Medical</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Services</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Associate</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Dean</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for</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Medical</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Education</w:t>
      </w:r>
      <w:proofErr w:type="spellEnd"/>
      <w:r w:rsidRPr="00CF6413">
        <w:rPr>
          <w:rFonts w:ascii="Times New Roman" w:eastAsia="Times New Roman" w:hAnsi="Times New Roman" w:cs="Times New Roman"/>
          <w:b/>
          <w:bCs/>
          <w:color w:val="000000" w:themeColor="text1"/>
          <w:szCs w:val="24"/>
          <w:lang w:eastAsia="es-AR"/>
        </w:rPr>
        <w:t xml:space="preserve">, Warren </w:t>
      </w:r>
      <w:proofErr w:type="spellStart"/>
      <w:r w:rsidRPr="00CF6413">
        <w:rPr>
          <w:rFonts w:ascii="Times New Roman" w:eastAsia="Times New Roman" w:hAnsi="Times New Roman" w:cs="Times New Roman"/>
          <w:b/>
          <w:bCs/>
          <w:color w:val="000000" w:themeColor="text1"/>
          <w:szCs w:val="24"/>
          <w:lang w:eastAsia="es-AR"/>
        </w:rPr>
        <w:t>Alpert</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Medical</w:t>
      </w:r>
      <w:proofErr w:type="spellEnd"/>
      <w:r w:rsidRPr="00CF6413">
        <w:rPr>
          <w:rFonts w:ascii="Times New Roman" w:eastAsia="Times New Roman" w:hAnsi="Times New Roman" w:cs="Times New Roman"/>
          <w:b/>
          <w:bCs/>
          <w:color w:val="000000" w:themeColor="text1"/>
          <w:szCs w:val="24"/>
          <w:lang w:eastAsia="es-AR"/>
        </w:rPr>
        <w:t xml:space="preserve"> </w:t>
      </w:r>
      <w:proofErr w:type="spellStart"/>
      <w:r w:rsidRPr="00CF6413">
        <w:rPr>
          <w:rFonts w:ascii="Times New Roman" w:eastAsia="Times New Roman" w:hAnsi="Times New Roman" w:cs="Times New Roman"/>
          <w:b/>
          <w:bCs/>
          <w:color w:val="000000" w:themeColor="text1"/>
          <w:szCs w:val="24"/>
          <w:lang w:eastAsia="es-AR"/>
        </w:rPr>
        <w:t>School</w:t>
      </w:r>
      <w:proofErr w:type="spellEnd"/>
      <w:r w:rsidRPr="00CF6413">
        <w:rPr>
          <w:rFonts w:ascii="Times New Roman" w:eastAsia="Times New Roman" w:hAnsi="Times New Roman" w:cs="Times New Roman"/>
          <w:b/>
          <w:bCs/>
          <w:color w:val="000000" w:themeColor="text1"/>
          <w:szCs w:val="24"/>
          <w:lang w:eastAsia="es-AR"/>
        </w:rPr>
        <w:t xml:space="preserve"> of Brown </w:t>
      </w:r>
      <w:proofErr w:type="spellStart"/>
      <w:r w:rsidRPr="00CF6413">
        <w:rPr>
          <w:rFonts w:ascii="Times New Roman" w:eastAsia="Times New Roman" w:hAnsi="Times New Roman" w:cs="Times New Roman"/>
          <w:b/>
          <w:bCs/>
          <w:color w:val="000000" w:themeColor="text1"/>
          <w:szCs w:val="24"/>
          <w:lang w:eastAsia="es-AR"/>
        </w:rPr>
        <w:t>University</w:t>
      </w:r>
      <w:proofErr w:type="spellEnd"/>
      <w:r w:rsidRPr="00CF6413">
        <w:rPr>
          <w:rFonts w:ascii="Times New Roman" w:eastAsia="Times New Roman" w:hAnsi="Times New Roman" w:cs="Times New Roman"/>
          <w:color w:val="000000" w:themeColor="text1"/>
          <w:sz w:val="24"/>
          <w:szCs w:val="24"/>
          <w:lang w:eastAsia="es-AR"/>
        </w:rPr>
        <w:fldChar w:fldCharType="begin"/>
      </w:r>
      <w:r w:rsidRPr="00CF6413">
        <w:rPr>
          <w:rFonts w:ascii="Times New Roman" w:eastAsia="Times New Roman" w:hAnsi="Times New Roman" w:cs="Times New Roman"/>
          <w:color w:val="000000" w:themeColor="text1"/>
          <w:sz w:val="24"/>
          <w:szCs w:val="24"/>
          <w:lang w:eastAsia="es-AR"/>
        </w:rPr>
        <w:instrText xml:space="preserve"> HYPERLINK "https://www.msdmanuals.com/es-ar/professional/enfermedades-infecciosas/biolog%C3%ADa-de-las-enfermedades-infecciosas/fiebre-de-origen-desconocido-fod" </w:instrText>
      </w:r>
      <w:r w:rsidRPr="00CF6413">
        <w:rPr>
          <w:rFonts w:ascii="Times New Roman" w:eastAsia="Times New Roman" w:hAnsi="Times New Roman" w:cs="Times New Roman"/>
          <w:color w:val="000000" w:themeColor="text1"/>
          <w:sz w:val="24"/>
          <w:szCs w:val="24"/>
          <w:lang w:eastAsia="es-AR"/>
        </w:rPr>
        <w:fldChar w:fldCharType="separate"/>
      </w:r>
      <w:r w:rsidRPr="00CF6413">
        <w:rPr>
          <w:rFonts w:ascii="Times New Roman" w:eastAsia="Times New Roman" w:hAnsi="Times New Roman" w:cs="Times New Roman"/>
          <w:color w:val="000000" w:themeColor="text1"/>
          <w:sz w:val="24"/>
          <w:szCs w:val="24"/>
          <w:lang w:eastAsia="es-AR"/>
        </w:rPr>
        <w:fldChar w:fldCharType="end"/>
      </w:r>
      <w:r w:rsidRPr="00CF6413">
        <w:rPr>
          <w:rFonts w:ascii="Times New Roman" w:eastAsia="Times New Roman" w:hAnsi="Times New Roman" w:cs="Times New Roman"/>
          <w:noProof/>
          <w:color w:val="000000" w:themeColor="text1"/>
          <w:sz w:val="24"/>
          <w:szCs w:val="24"/>
          <w:lang w:eastAsia="es-AR"/>
        </w:rPr>
        <w:pict>
          <v:group id="_x0000_s1029" style="position:absolute;margin-left:9pt;margin-top:245.25pt;width:166.5pt;height:33.75pt;z-index:251660288;mso-position-horizontal-relative:char;mso-position-vertical-relative:line" coordorigin="180,4905" coordsize="3330,675">
            <v:rect id="_x0000_s1030" href="https://play.google.com/store/apps/details?id=com.msd.professionalSpanish&amp;referrer=utm_source%3DMMWeb%26utm_medium%3Dbanner%26utm_content%3DHomeVertical%26utm_campaign%3DWebAppAds" target="_blank" style="position:absolute;left:1875;top:4920;width:1635;height:660" o:button="t" filled="f" stroked="f">
              <v:fill o:detectmouseclick="t"/>
            </v:rect>
            <v:rect id="_x0000_s1031" href="https://itunes.apple.com/us/app/id1151854781?pt=277178&amp;ct=Topic1Vertical&amp;mt=8" target="_blank" style="position:absolute;left:180;top:4905;width:1605;height:600" o:button="t" filled="f" stroked="f">
              <v:fill o:detectmouseclick="t"/>
            </v:rect>
            <w10:anchorlock/>
          </v:group>
        </w:pic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La FOD es la temperatura corporal ≥ 38,3 °C (101 ºF) medida por vía rectal que no es el resultado de una enfermedad transitoria y </w:t>
      </w:r>
      <w:proofErr w:type="spellStart"/>
      <w:r w:rsidRPr="00CF6413">
        <w:rPr>
          <w:rFonts w:ascii="Times New Roman" w:eastAsia="Times New Roman" w:hAnsi="Times New Roman" w:cs="Times New Roman"/>
          <w:color w:val="000000" w:themeColor="text1"/>
          <w:sz w:val="24"/>
          <w:szCs w:val="24"/>
          <w:lang w:eastAsia="es-AR"/>
        </w:rPr>
        <w:t>autolimitada</w:t>
      </w:r>
      <w:proofErr w:type="spellEnd"/>
      <w:r w:rsidRPr="00CF6413">
        <w:rPr>
          <w:rFonts w:ascii="Times New Roman" w:eastAsia="Times New Roman" w:hAnsi="Times New Roman" w:cs="Times New Roman"/>
          <w:color w:val="000000" w:themeColor="text1"/>
          <w:sz w:val="24"/>
          <w:szCs w:val="24"/>
          <w:lang w:eastAsia="es-AR"/>
        </w:rPr>
        <w:t xml:space="preserve">, de una enfermedad rápida mortal o de un trastorno con síntomas o signos de localización claros, ni se asocia con anomalías en las pruebas comunes como radiografías de tórax, análisis de orina o </w:t>
      </w:r>
      <w:proofErr w:type="spellStart"/>
      <w:r w:rsidRPr="00CF6413">
        <w:rPr>
          <w:rFonts w:ascii="Times New Roman" w:eastAsia="Times New Roman" w:hAnsi="Times New Roman" w:cs="Times New Roman"/>
          <w:color w:val="000000" w:themeColor="text1"/>
          <w:sz w:val="24"/>
          <w:szCs w:val="24"/>
          <w:lang w:eastAsia="es-AR"/>
        </w:rPr>
        <w:t>hemocultivos</w:t>
      </w:r>
      <w:proofErr w:type="spellEnd"/>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Actualmente, la fiebre de origen desconocido se clasifica en 4 categorías:</w:t>
      </w:r>
    </w:p>
    <w:p w:rsidR="00CF6413" w:rsidRPr="00CF6413" w:rsidRDefault="00CF6413" w:rsidP="00CF6413">
      <w:pPr>
        <w:numPr>
          <w:ilvl w:val="0"/>
          <w:numId w:val="2"/>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Fiebre de origen desconocido clásica:</w:t>
      </w:r>
      <w:r w:rsidRPr="00CF6413">
        <w:rPr>
          <w:rFonts w:ascii="Times New Roman" w:eastAsia="Times New Roman" w:hAnsi="Times New Roman" w:cs="Times New Roman"/>
          <w:color w:val="000000" w:themeColor="text1"/>
          <w:sz w:val="24"/>
          <w:szCs w:val="24"/>
          <w:lang w:eastAsia="es-AR"/>
        </w:rPr>
        <w:t> fiebre durante &gt; 3 semanas, sin causa identificable después de 3 días de evaluación en el hospital o de ≥ 3 consultas externas</w:t>
      </w:r>
    </w:p>
    <w:p w:rsidR="00CF6413" w:rsidRPr="00CF6413" w:rsidRDefault="00CF6413" w:rsidP="00CF6413">
      <w:pPr>
        <w:numPr>
          <w:ilvl w:val="0"/>
          <w:numId w:val="2"/>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fiebre de origen desconocido asociada con el cuidado de la salud:</w:t>
      </w:r>
      <w:r w:rsidRPr="00CF6413">
        <w:rPr>
          <w:rFonts w:ascii="Times New Roman" w:eastAsia="Times New Roman" w:hAnsi="Times New Roman" w:cs="Times New Roman"/>
          <w:color w:val="000000" w:themeColor="text1"/>
          <w:sz w:val="24"/>
          <w:szCs w:val="24"/>
          <w:lang w:eastAsia="es-AR"/>
        </w:rPr>
        <w:t> fiebre en pacientes internados que reciben atención en agudo y sin infección presente o incubándose en el ingreso, si el diagnóstico sigue siendo dudoso después de ♦ 3 días de evaluación adecuada</w:t>
      </w:r>
    </w:p>
    <w:p w:rsidR="00CF6413" w:rsidRPr="00CF6413" w:rsidRDefault="00CF6413" w:rsidP="00CF6413">
      <w:pPr>
        <w:numPr>
          <w:ilvl w:val="0"/>
          <w:numId w:val="2"/>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 xml:space="preserve">Fiebre de origen desconocido </w:t>
      </w:r>
      <w:proofErr w:type="spellStart"/>
      <w:r w:rsidRPr="00CF6413">
        <w:rPr>
          <w:rFonts w:ascii="Times New Roman" w:eastAsia="Times New Roman" w:hAnsi="Times New Roman" w:cs="Times New Roman"/>
          <w:b/>
          <w:bCs/>
          <w:color w:val="000000" w:themeColor="text1"/>
          <w:sz w:val="24"/>
          <w:szCs w:val="24"/>
          <w:lang w:eastAsia="es-AR"/>
        </w:rPr>
        <w:t>inmunodeficiente</w:t>
      </w:r>
      <w:proofErr w:type="spellEnd"/>
      <w:r w:rsidRPr="00CF6413">
        <w:rPr>
          <w:rFonts w:ascii="Times New Roman" w:eastAsia="Times New Roman" w:hAnsi="Times New Roman" w:cs="Times New Roman"/>
          <w:b/>
          <w:bCs/>
          <w:color w:val="000000" w:themeColor="text1"/>
          <w:sz w:val="24"/>
          <w:szCs w:val="24"/>
          <w:lang w:eastAsia="es-AR"/>
        </w:rPr>
        <w:t>:</w:t>
      </w:r>
      <w:r w:rsidRPr="00CF6413">
        <w:rPr>
          <w:rFonts w:ascii="Times New Roman" w:eastAsia="Times New Roman" w:hAnsi="Times New Roman" w:cs="Times New Roman"/>
          <w:color w:val="000000" w:themeColor="text1"/>
          <w:sz w:val="24"/>
          <w:szCs w:val="24"/>
          <w:lang w:eastAsia="es-AR"/>
        </w:rPr>
        <w:t> fiebre en pacientes con inmunodeficiencias, si el diagnóstico sigue siendo dudoso después de 3 días de evaluación adecuada, incluso cultivos negativos después de 48 horas</w:t>
      </w:r>
    </w:p>
    <w:p w:rsidR="00CF6413" w:rsidRPr="00CF6413" w:rsidRDefault="00CF6413" w:rsidP="00CF6413">
      <w:pPr>
        <w:numPr>
          <w:ilvl w:val="0"/>
          <w:numId w:val="2"/>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Fiebre de origen desconocido relacionada con el HIV:</w:t>
      </w:r>
      <w:r w:rsidRPr="00CF6413">
        <w:rPr>
          <w:rFonts w:ascii="Times New Roman" w:eastAsia="Times New Roman" w:hAnsi="Times New Roman" w:cs="Times New Roman"/>
          <w:color w:val="000000" w:themeColor="text1"/>
          <w:sz w:val="24"/>
          <w:szCs w:val="24"/>
          <w:lang w:eastAsia="es-AR"/>
        </w:rPr>
        <w:t> fiebre durante &gt; 3 semanas en pacientes ambulatorios con infección por HIV confirmada, o &gt; 3 días en pacientes internados con infección por HIV confirmada, si el diagnóstico sigue siendo dudoso después de la evaluación adecuada</w:t>
      </w:r>
    </w:p>
    <w:p w:rsidR="00CF6413" w:rsidRPr="00CF6413" w:rsidRDefault="00CF6413" w:rsidP="00CF6413">
      <w:pPr>
        <w:spacing w:after="63" w:line="240" w:lineRule="auto"/>
        <w:outlineLvl w:val="1"/>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Etiología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Las causas de FOD se dividen en 4 categorías (ver </w:t>
      </w:r>
      <w:hyperlink r:id="rId5" w:anchor="v997565_es" w:history="1">
        <w:r w:rsidRPr="00CF6413">
          <w:rPr>
            <w:rFonts w:ascii="Times New Roman" w:eastAsia="Times New Roman" w:hAnsi="Times New Roman" w:cs="Times New Roman"/>
            <w:color w:val="000000" w:themeColor="text1"/>
            <w:sz w:val="24"/>
            <w:szCs w:val="24"/>
            <w:u w:val="single"/>
            <w:lang w:eastAsia="es-AR"/>
          </w:rPr>
          <w:t>Algunas causas de fiebre de origen desconocido</w:t>
        </w:r>
      </w:hyperlink>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Infecciones (25 a 50%)</w:t>
      </w:r>
    </w:p>
    <w:p w:rsidR="00CF6413" w:rsidRPr="00CF6413" w:rsidRDefault="00CF6413" w:rsidP="00CF6413">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Trastornos del tejido conectivo (10 a 20%)</w:t>
      </w:r>
    </w:p>
    <w:p w:rsidR="00CF6413" w:rsidRPr="00CF6413" w:rsidRDefault="00CF6413" w:rsidP="00CF6413">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Neoplasias (5 a 35%)</w:t>
      </w:r>
    </w:p>
    <w:p w:rsidR="00CF6413" w:rsidRPr="00CF6413" w:rsidRDefault="00CF6413" w:rsidP="00CF6413">
      <w:pPr>
        <w:numPr>
          <w:ilvl w:val="0"/>
          <w:numId w:val="3"/>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Misceláneas (15 a 25%)</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Las </w:t>
      </w:r>
      <w:r w:rsidRPr="00CF6413">
        <w:rPr>
          <w:rFonts w:ascii="Times New Roman" w:eastAsia="Times New Roman" w:hAnsi="Times New Roman" w:cs="Times New Roman"/>
          <w:b/>
          <w:bCs/>
          <w:color w:val="000000" w:themeColor="text1"/>
          <w:sz w:val="24"/>
          <w:szCs w:val="24"/>
          <w:lang w:eastAsia="es-AR"/>
        </w:rPr>
        <w:t>infecciones</w:t>
      </w:r>
      <w:r w:rsidRPr="00CF6413">
        <w:rPr>
          <w:rFonts w:ascii="Times New Roman" w:eastAsia="Times New Roman" w:hAnsi="Times New Roman" w:cs="Times New Roman"/>
          <w:color w:val="000000" w:themeColor="text1"/>
          <w:sz w:val="24"/>
          <w:szCs w:val="24"/>
          <w:lang w:eastAsia="es-AR"/>
        </w:rPr>
        <w:t xml:space="preserve"> son la causa más común de fiebre de origen desconocido. En los pacientes con infección por HIV, deben investigarse las infecciones oportunistas (tuberculosis, infección por </w:t>
      </w:r>
      <w:proofErr w:type="spellStart"/>
      <w:r w:rsidRPr="00CF6413">
        <w:rPr>
          <w:rFonts w:ascii="Times New Roman" w:eastAsia="Times New Roman" w:hAnsi="Times New Roman" w:cs="Times New Roman"/>
          <w:color w:val="000000" w:themeColor="text1"/>
          <w:sz w:val="24"/>
          <w:szCs w:val="24"/>
          <w:lang w:eastAsia="es-AR"/>
        </w:rPr>
        <w:t>micobacterias</w:t>
      </w:r>
      <w:proofErr w:type="spellEnd"/>
      <w:r w:rsidRPr="00CF6413">
        <w:rPr>
          <w:rFonts w:ascii="Times New Roman" w:eastAsia="Times New Roman" w:hAnsi="Times New Roman" w:cs="Times New Roman"/>
          <w:color w:val="000000" w:themeColor="text1"/>
          <w:sz w:val="24"/>
          <w:szCs w:val="24"/>
          <w:lang w:eastAsia="es-AR"/>
        </w:rPr>
        <w:t xml:space="preserve"> atípicas, infecciones diseminadas por hongos, o </w:t>
      </w:r>
      <w:proofErr w:type="spellStart"/>
      <w:r w:rsidRPr="00CF6413">
        <w:rPr>
          <w:rFonts w:ascii="Times New Roman" w:eastAsia="Times New Roman" w:hAnsi="Times New Roman" w:cs="Times New Roman"/>
          <w:color w:val="000000" w:themeColor="text1"/>
          <w:sz w:val="24"/>
          <w:szCs w:val="24"/>
          <w:lang w:eastAsia="es-AR"/>
        </w:rPr>
        <w:t>citomegalovirus</w:t>
      </w:r>
      <w:proofErr w:type="spellEnd"/>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Los </w:t>
      </w:r>
      <w:r w:rsidRPr="00CF6413">
        <w:rPr>
          <w:rFonts w:ascii="Times New Roman" w:eastAsia="Times New Roman" w:hAnsi="Times New Roman" w:cs="Times New Roman"/>
          <w:b/>
          <w:bCs/>
          <w:color w:val="000000" w:themeColor="text1"/>
          <w:sz w:val="24"/>
          <w:szCs w:val="24"/>
          <w:lang w:eastAsia="es-AR"/>
        </w:rPr>
        <w:t>trastornos más comunes del tejido conectivo</w:t>
      </w:r>
      <w:r w:rsidRPr="00CF6413">
        <w:rPr>
          <w:rFonts w:ascii="Times New Roman" w:eastAsia="Times New Roman" w:hAnsi="Times New Roman" w:cs="Times New Roman"/>
          <w:color w:val="000000" w:themeColor="text1"/>
          <w:sz w:val="24"/>
          <w:szCs w:val="24"/>
          <w:lang w:eastAsia="es-AR"/>
        </w:rPr>
        <w:t xml:space="preserve"> son el LES, la artritis </w:t>
      </w:r>
      <w:proofErr w:type="spellStart"/>
      <w:r w:rsidRPr="00CF6413">
        <w:rPr>
          <w:rFonts w:ascii="Times New Roman" w:eastAsia="Times New Roman" w:hAnsi="Times New Roman" w:cs="Times New Roman"/>
          <w:color w:val="000000" w:themeColor="text1"/>
          <w:sz w:val="24"/>
          <w:szCs w:val="24"/>
          <w:lang w:eastAsia="es-AR"/>
        </w:rPr>
        <w:t>reumatoidea</w:t>
      </w:r>
      <w:proofErr w:type="spellEnd"/>
      <w:r w:rsidRPr="00CF6413">
        <w:rPr>
          <w:rFonts w:ascii="Times New Roman" w:eastAsia="Times New Roman" w:hAnsi="Times New Roman" w:cs="Times New Roman"/>
          <w:color w:val="000000" w:themeColor="text1"/>
          <w:sz w:val="24"/>
          <w:szCs w:val="24"/>
          <w:lang w:eastAsia="es-AR"/>
        </w:rPr>
        <w:t xml:space="preserve">, la arteritis de células gigantes y la artritis </w:t>
      </w:r>
      <w:proofErr w:type="spellStart"/>
      <w:r w:rsidRPr="00CF6413">
        <w:rPr>
          <w:rFonts w:ascii="Times New Roman" w:eastAsia="Times New Roman" w:hAnsi="Times New Roman" w:cs="Times New Roman"/>
          <w:color w:val="000000" w:themeColor="text1"/>
          <w:sz w:val="24"/>
          <w:szCs w:val="24"/>
          <w:lang w:eastAsia="es-AR"/>
        </w:rPr>
        <w:t>reumatoidea</w:t>
      </w:r>
      <w:proofErr w:type="spellEnd"/>
      <w:r w:rsidRPr="00CF6413">
        <w:rPr>
          <w:rFonts w:ascii="Times New Roman" w:eastAsia="Times New Roman" w:hAnsi="Times New Roman" w:cs="Times New Roman"/>
          <w:color w:val="000000" w:themeColor="text1"/>
          <w:sz w:val="24"/>
          <w:szCs w:val="24"/>
          <w:lang w:eastAsia="es-AR"/>
        </w:rPr>
        <w:t xml:space="preserve"> juvenil del adulto (enfermedad de </w:t>
      </w:r>
      <w:proofErr w:type="spellStart"/>
      <w:r w:rsidRPr="00CF6413">
        <w:rPr>
          <w:rFonts w:ascii="Times New Roman" w:eastAsia="Times New Roman" w:hAnsi="Times New Roman" w:cs="Times New Roman"/>
          <w:color w:val="000000" w:themeColor="text1"/>
          <w:sz w:val="24"/>
          <w:szCs w:val="24"/>
          <w:lang w:eastAsia="es-AR"/>
        </w:rPr>
        <w:t>Still</w:t>
      </w:r>
      <w:proofErr w:type="spellEnd"/>
      <w:r w:rsidRPr="00CF6413">
        <w:rPr>
          <w:rFonts w:ascii="Times New Roman" w:eastAsia="Times New Roman" w:hAnsi="Times New Roman" w:cs="Times New Roman"/>
          <w:color w:val="000000" w:themeColor="text1"/>
          <w:sz w:val="24"/>
          <w:szCs w:val="24"/>
          <w:lang w:eastAsia="es-AR"/>
        </w:rPr>
        <w:t xml:space="preserve"> del adulto).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Las </w:t>
      </w:r>
      <w:r w:rsidRPr="00CF6413">
        <w:rPr>
          <w:rFonts w:ascii="Times New Roman" w:eastAsia="Times New Roman" w:hAnsi="Times New Roman" w:cs="Times New Roman"/>
          <w:b/>
          <w:bCs/>
          <w:color w:val="000000" w:themeColor="text1"/>
          <w:sz w:val="24"/>
          <w:szCs w:val="24"/>
          <w:lang w:eastAsia="es-AR"/>
        </w:rPr>
        <w:t xml:space="preserve">causas </w:t>
      </w:r>
      <w:proofErr w:type="spellStart"/>
      <w:r w:rsidRPr="00CF6413">
        <w:rPr>
          <w:rFonts w:ascii="Times New Roman" w:eastAsia="Times New Roman" w:hAnsi="Times New Roman" w:cs="Times New Roman"/>
          <w:b/>
          <w:bCs/>
          <w:color w:val="000000" w:themeColor="text1"/>
          <w:sz w:val="24"/>
          <w:szCs w:val="24"/>
          <w:lang w:eastAsia="es-AR"/>
        </w:rPr>
        <w:t>neoplásicas</w:t>
      </w:r>
      <w:proofErr w:type="spellEnd"/>
      <w:r w:rsidRPr="00CF6413">
        <w:rPr>
          <w:rFonts w:ascii="Times New Roman" w:eastAsia="Times New Roman" w:hAnsi="Times New Roman" w:cs="Times New Roman"/>
          <w:b/>
          <w:bCs/>
          <w:color w:val="000000" w:themeColor="text1"/>
          <w:sz w:val="24"/>
          <w:szCs w:val="24"/>
          <w:lang w:eastAsia="es-AR"/>
        </w:rPr>
        <w:t xml:space="preserve"> más comunes</w:t>
      </w:r>
      <w:r w:rsidRPr="00CF6413">
        <w:rPr>
          <w:rFonts w:ascii="Times New Roman" w:eastAsia="Times New Roman" w:hAnsi="Times New Roman" w:cs="Times New Roman"/>
          <w:color w:val="000000" w:themeColor="text1"/>
          <w:sz w:val="24"/>
          <w:szCs w:val="24"/>
          <w:lang w:eastAsia="es-AR"/>
        </w:rPr>
        <w:t xml:space="preserve"> son el linfoma, la leucemia, el carcinoma de células renales, el carcinoma </w:t>
      </w:r>
      <w:proofErr w:type="spellStart"/>
      <w:r w:rsidRPr="00CF6413">
        <w:rPr>
          <w:rFonts w:ascii="Times New Roman" w:eastAsia="Times New Roman" w:hAnsi="Times New Roman" w:cs="Times New Roman"/>
          <w:color w:val="000000" w:themeColor="text1"/>
          <w:sz w:val="24"/>
          <w:szCs w:val="24"/>
          <w:lang w:eastAsia="es-AR"/>
        </w:rPr>
        <w:t>hepatocelular</w:t>
      </w:r>
      <w:proofErr w:type="spellEnd"/>
      <w:r w:rsidRPr="00CF6413">
        <w:rPr>
          <w:rFonts w:ascii="Times New Roman" w:eastAsia="Times New Roman" w:hAnsi="Times New Roman" w:cs="Times New Roman"/>
          <w:color w:val="000000" w:themeColor="text1"/>
          <w:sz w:val="24"/>
          <w:szCs w:val="24"/>
          <w:lang w:eastAsia="es-AR"/>
        </w:rPr>
        <w:t xml:space="preserve"> y los carcinomas </w:t>
      </w:r>
      <w:proofErr w:type="spellStart"/>
      <w:r w:rsidRPr="00CF6413">
        <w:rPr>
          <w:rFonts w:ascii="Times New Roman" w:eastAsia="Times New Roman" w:hAnsi="Times New Roman" w:cs="Times New Roman"/>
          <w:color w:val="000000" w:themeColor="text1"/>
          <w:sz w:val="24"/>
          <w:szCs w:val="24"/>
          <w:lang w:eastAsia="es-AR"/>
        </w:rPr>
        <w:t>metastásicos</w:t>
      </w:r>
      <w:proofErr w:type="spellEnd"/>
      <w:r w:rsidRPr="00CF6413">
        <w:rPr>
          <w:rFonts w:ascii="Times New Roman" w:eastAsia="Times New Roman" w:hAnsi="Times New Roman" w:cs="Times New Roman"/>
          <w:color w:val="000000" w:themeColor="text1"/>
          <w:sz w:val="24"/>
          <w:szCs w:val="24"/>
          <w:lang w:eastAsia="es-AR"/>
        </w:rPr>
        <w:t xml:space="preserve">. Sin embargo, la incidencia de causas </w:t>
      </w:r>
      <w:proofErr w:type="spellStart"/>
      <w:r w:rsidRPr="00CF6413">
        <w:rPr>
          <w:rFonts w:ascii="Times New Roman" w:eastAsia="Times New Roman" w:hAnsi="Times New Roman" w:cs="Times New Roman"/>
          <w:color w:val="000000" w:themeColor="text1"/>
          <w:sz w:val="24"/>
          <w:szCs w:val="24"/>
          <w:lang w:eastAsia="es-AR"/>
        </w:rPr>
        <w:t>neoplásicas</w:t>
      </w:r>
      <w:proofErr w:type="spellEnd"/>
      <w:r w:rsidRPr="00CF6413">
        <w:rPr>
          <w:rFonts w:ascii="Times New Roman" w:eastAsia="Times New Roman" w:hAnsi="Times New Roman" w:cs="Times New Roman"/>
          <w:color w:val="000000" w:themeColor="text1"/>
          <w:sz w:val="24"/>
          <w:szCs w:val="24"/>
          <w:lang w:eastAsia="es-AR"/>
        </w:rPr>
        <w:t xml:space="preserve"> de fiebre de origen desconocido está en disminución, probablemente debido a que se detectan por ecografía y TC, que actualmente se usan en la evaluación inicial.</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Otras causas importantes</w:t>
      </w:r>
      <w:r w:rsidRPr="00CF6413">
        <w:rPr>
          <w:rFonts w:ascii="Times New Roman" w:eastAsia="Times New Roman" w:hAnsi="Times New Roman" w:cs="Times New Roman"/>
          <w:color w:val="000000" w:themeColor="text1"/>
          <w:sz w:val="24"/>
          <w:szCs w:val="24"/>
          <w:lang w:eastAsia="es-AR"/>
        </w:rPr>
        <w:t xml:space="preserve"> son las reacciones a medicamentos, la trombosis venosa profunda, la embolia pulmonar recurrente, la </w:t>
      </w:r>
      <w:proofErr w:type="spellStart"/>
      <w:r w:rsidRPr="00CF6413">
        <w:rPr>
          <w:rFonts w:ascii="Times New Roman" w:eastAsia="Times New Roman" w:hAnsi="Times New Roman" w:cs="Times New Roman"/>
          <w:color w:val="000000" w:themeColor="text1"/>
          <w:sz w:val="24"/>
          <w:szCs w:val="24"/>
          <w:lang w:eastAsia="es-AR"/>
        </w:rPr>
        <w:t>sarcoidosis</w:t>
      </w:r>
      <w:proofErr w:type="spellEnd"/>
      <w:r w:rsidRPr="00CF6413">
        <w:rPr>
          <w:rFonts w:ascii="Times New Roman" w:eastAsia="Times New Roman" w:hAnsi="Times New Roman" w:cs="Times New Roman"/>
          <w:color w:val="000000" w:themeColor="text1"/>
          <w:sz w:val="24"/>
          <w:szCs w:val="24"/>
          <w:lang w:eastAsia="es-AR"/>
        </w:rPr>
        <w:t>, la enfermedad intestinal inflamatoria y la fiebre facticia.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 aproximadamente el 10% de los adultos con fiebre de origen desconocido no es posible identificar la causa.</w:t>
      </w:r>
    </w:p>
    <w:p w:rsidR="00CF6413" w:rsidRPr="00CF6413" w:rsidRDefault="00CF6413" w:rsidP="00CF6413">
      <w:pPr>
        <w:spacing w:line="240" w:lineRule="auto"/>
        <w:ind w:left="63" w:right="63"/>
        <w:jc w:val="center"/>
        <w:outlineLvl w:val="2"/>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Algunas causas de fiebre de origen desconocido</w:t>
      </w:r>
    </w:p>
    <w:tbl>
      <w:tblPr>
        <w:tblW w:w="10728" w:type="dxa"/>
        <w:shd w:val="clear" w:color="auto" w:fill="F8F8F8"/>
        <w:tblCellMar>
          <w:top w:w="15" w:type="dxa"/>
          <w:left w:w="15" w:type="dxa"/>
          <w:bottom w:w="15" w:type="dxa"/>
          <w:right w:w="15" w:type="dxa"/>
        </w:tblCellMar>
        <w:tblLook w:val="04A0"/>
      </w:tblPr>
      <w:tblGrid>
        <w:gridCol w:w="2032"/>
        <w:gridCol w:w="5405"/>
        <w:gridCol w:w="3291"/>
      </w:tblGrid>
      <w:tr w:rsidR="00CF6413" w:rsidRPr="00CF6413" w:rsidTr="00CF6413">
        <w:trPr>
          <w:tblHeader/>
        </w:trPr>
        <w:tc>
          <w:tcPr>
            <w:tcW w:w="0" w:type="auto"/>
            <w:shd w:val="clear" w:color="auto" w:fill="FFFFFF"/>
            <w:tcMar>
              <w:top w:w="96" w:type="dxa"/>
              <w:left w:w="96" w:type="dxa"/>
              <w:bottom w:w="96" w:type="dxa"/>
              <w:right w:w="96" w:type="dxa"/>
            </w:tcMar>
            <w:vAlign w:val="cente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Causa</w:t>
            </w:r>
          </w:p>
        </w:tc>
        <w:tc>
          <w:tcPr>
            <w:tcW w:w="0" w:type="auto"/>
            <w:shd w:val="clear" w:color="auto" w:fill="FFFFFF"/>
            <w:tcMar>
              <w:top w:w="96" w:type="dxa"/>
              <w:left w:w="96" w:type="dxa"/>
              <w:bottom w:w="96" w:type="dxa"/>
              <w:right w:w="96" w:type="dxa"/>
            </w:tcMar>
            <w:vAlign w:val="cente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Manifestaciones indicadoras</w:t>
            </w:r>
          </w:p>
        </w:tc>
        <w:tc>
          <w:tcPr>
            <w:tcW w:w="3291" w:type="dxa"/>
            <w:shd w:val="clear" w:color="auto" w:fill="FFFFFF"/>
            <w:tcMar>
              <w:top w:w="96" w:type="dxa"/>
              <w:left w:w="96" w:type="dxa"/>
              <w:bottom w:w="96" w:type="dxa"/>
              <w:right w:w="96" w:type="dxa"/>
            </w:tcMar>
            <w:vAlign w:val="cente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Abordaje diagnóstico*</w:t>
            </w:r>
          </w:p>
        </w:tc>
      </w:tr>
      <w:tr w:rsidR="00CF6413" w:rsidRPr="00CF6413" w:rsidTr="00CF6413">
        <w:tc>
          <w:tcPr>
            <w:tcW w:w="10728" w:type="dxa"/>
            <w:gridSpan w:val="3"/>
            <w:tcBorders>
              <w:top w:val="single" w:sz="12" w:space="0" w:color="9BA3A9"/>
              <w:left w:val="single" w:sz="4" w:space="0" w:color="FFFFFF"/>
              <w:bottom w:val="single" w:sz="12" w:space="0" w:color="9BA3A9"/>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Infecciosas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lastRenderedPageBreak/>
              <w:t>Abscesos (abdominal, pelviano, dentario)</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Molestias abdominales o pelvianas, generalmente dolor al tacto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veces, hay un antecedente de cirugía, traumatismos, </w:t>
            </w:r>
            <w:proofErr w:type="spellStart"/>
            <w:r w:rsidRPr="00CF6413">
              <w:rPr>
                <w:rFonts w:ascii="Times New Roman" w:eastAsia="Times New Roman" w:hAnsi="Times New Roman" w:cs="Times New Roman"/>
                <w:color w:val="000000" w:themeColor="text1"/>
                <w:sz w:val="24"/>
                <w:szCs w:val="24"/>
                <w:lang w:eastAsia="es-AR"/>
              </w:rPr>
              <w:t>diverticulosis</w:t>
            </w:r>
            <w:proofErr w:type="spellEnd"/>
            <w:r w:rsidRPr="00CF6413">
              <w:rPr>
                <w:rFonts w:ascii="Times New Roman" w:eastAsia="Times New Roman" w:hAnsi="Times New Roman" w:cs="Times New Roman"/>
                <w:color w:val="000000" w:themeColor="text1"/>
                <w:sz w:val="24"/>
                <w:szCs w:val="24"/>
                <w:lang w:eastAsia="es-AR"/>
              </w:rPr>
              <w:t>, peritonitis o procedimiento ginecológico</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TC o RM</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Linfadenitis</w:t>
            </w:r>
            <w:proofErr w:type="spellEnd"/>
            <w:r w:rsidRPr="00CF6413">
              <w:rPr>
                <w:rFonts w:ascii="Times New Roman" w:eastAsia="Times New Roman" w:hAnsi="Times New Roman" w:cs="Times New Roman"/>
                <w:color w:val="000000" w:themeColor="text1"/>
                <w:sz w:val="24"/>
                <w:szCs w:val="24"/>
                <w:lang w:eastAsia="es-AR"/>
              </w:rPr>
              <w:t xml:space="preserve"> regional no bacteriana (enfermedad por arañazo de gato)</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arañazo o lamida de gato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Adenopatía regional, síndrome </w:t>
            </w:r>
            <w:proofErr w:type="spellStart"/>
            <w:r w:rsidRPr="00CF6413">
              <w:rPr>
                <w:rFonts w:ascii="Times New Roman" w:eastAsia="Times New Roman" w:hAnsi="Times New Roman" w:cs="Times New Roman"/>
                <w:color w:val="000000" w:themeColor="text1"/>
                <w:sz w:val="24"/>
                <w:szCs w:val="24"/>
                <w:lang w:eastAsia="es-AR"/>
              </w:rPr>
              <w:t>oculoglandular</w:t>
            </w:r>
            <w:proofErr w:type="spellEnd"/>
            <w:r w:rsidRPr="00CF6413">
              <w:rPr>
                <w:rFonts w:ascii="Times New Roman" w:eastAsia="Times New Roman" w:hAnsi="Times New Roman" w:cs="Times New Roman"/>
                <w:color w:val="000000" w:themeColor="text1"/>
                <w:sz w:val="24"/>
                <w:szCs w:val="24"/>
                <w:lang w:eastAsia="es-AR"/>
              </w:rPr>
              <w:t xml:space="preserve"> de </w:t>
            </w:r>
            <w:proofErr w:type="spellStart"/>
            <w:r w:rsidRPr="00CF6413">
              <w:rPr>
                <w:rFonts w:ascii="Times New Roman" w:eastAsia="Times New Roman" w:hAnsi="Times New Roman" w:cs="Times New Roman"/>
                <w:color w:val="000000" w:themeColor="text1"/>
                <w:sz w:val="24"/>
                <w:szCs w:val="24"/>
                <w:lang w:eastAsia="es-AR"/>
              </w:rPr>
              <w:t>Parinaud</w:t>
            </w:r>
            <w:proofErr w:type="spellEnd"/>
            <w:r w:rsidRPr="00CF6413">
              <w:rPr>
                <w:rFonts w:ascii="Times New Roman" w:eastAsia="Times New Roman" w:hAnsi="Times New Roman" w:cs="Times New Roman"/>
                <w:color w:val="000000" w:themeColor="text1"/>
                <w:sz w:val="24"/>
                <w:szCs w:val="24"/>
                <w:lang w:eastAsia="es-AR"/>
              </w:rPr>
              <w:t>, cefalea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Cultivo (a veces de un aspirado de los ganglios linfáticos), títulos de anticuerpos, prueba de PCR</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Infección por CMV</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transfusión de sangre de un dador positivo para CMV</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Síndrome semejante a </w:t>
            </w:r>
            <w:proofErr w:type="spellStart"/>
            <w:r w:rsidRPr="00CF6413">
              <w:rPr>
                <w:rFonts w:ascii="Times New Roman" w:eastAsia="Times New Roman" w:hAnsi="Times New Roman" w:cs="Times New Roman"/>
                <w:color w:val="000000" w:themeColor="text1"/>
                <w:sz w:val="24"/>
                <w:szCs w:val="24"/>
                <w:lang w:eastAsia="es-AR"/>
              </w:rPr>
              <w:t>mononucleosis</w:t>
            </w:r>
            <w:proofErr w:type="spellEnd"/>
            <w:r w:rsidRPr="00CF6413">
              <w:rPr>
                <w:rFonts w:ascii="Times New Roman" w:eastAsia="Times New Roman" w:hAnsi="Times New Roman" w:cs="Times New Roman"/>
                <w:color w:val="000000" w:themeColor="text1"/>
                <w:sz w:val="24"/>
                <w:szCs w:val="24"/>
                <w:lang w:eastAsia="es-AR"/>
              </w:rPr>
              <w:t xml:space="preserve"> (cansancio, hepatitis leve, esplenomegalia, adenopatía), </w:t>
            </w:r>
            <w:proofErr w:type="spellStart"/>
            <w:r w:rsidRPr="00CF6413">
              <w:rPr>
                <w:rFonts w:ascii="Times New Roman" w:eastAsia="Times New Roman" w:hAnsi="Times New Roman" w:cs="Times New Roman"/>
                <w:color w:val="000000" w:themeColor="text1"/>
                <w:sz w:val="24"/>
                <w:szCs w:val="24"/>
                <w:lang w:eastAsia="es-AR"/>
              </w:rPr>
              <w:t>coriorretinitis</w:t>
            </w:r>
            <w:proofErr w:type="spellEnd"/>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Títulos de anticuerpos </w:t>
            </w:r>
            <w:proofErr w:type="spellStart"/>
            <w:r w:rsidRPr="00CF6413">
              <w:rPr>
                <w:rFonts w:ascii="Times New Roman" w:eastAsia="Times New Roman" w:hAnsi="Times New Roman" w:cs="Times New Roman"/>
                <w:color w:val="000000" w:themeColor="text1"/>
                <w:sz w:val="24"/>
                <w:szCs w:val="24"/>
                <w:lang w:eastAsia="es-AR"/>
              </w:rPr>
              <w:t>IgM</w:t>
            </w:r>
            <w:proofErr w:type="spellEnd"/>
            <w:r w:rsidRPr="00CF6413">
              <w:rPr>
                <w:rFonts w:ascii="Times New Roman" w:eastAsia="Times New Roman" w:hAnsi="Times New Roman" w:cs="Times New Roman"/>
                <w:color w:val="000000" w:themeColor="text1"/>
                <w:sz w:val="24"/>
                <w:szCs w:val="24"/>
                <w:lang w:eastAsia="es-AR"/>
              </w:rPr>
              <w:t xml:space="preserve"> contra CMV</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Posible prueba de PCR</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Infección por EBV</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Dolor de garganta, adenopatía, dolor al tacto en el cuadrante superior derecho, esplenomegalia, cansancio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Generalmente aparece en adolescentes y adultos jóvenes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 pacientes de más edad, es posible que no haya manifestaciones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Análisis serológico</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Infección por HIV</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conductas de alto riesgo (relaciones sexuales sin protección, agujas compartidas)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Pérdida de peso, sudoraciones nocturnas, cansancio, adenopatía, infecciones oportunistas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Detección de anticuerpos anti-HIV (ELISA, Western </w:t>
            </w:r>
            <w:proofErr w:type="spellStart"/>
            <w:r w:rsidRPr="00CF6413">
              <w:rPr>
                <w:rFonts w:ascii="Times New Roman" w:eastAsia="Times New Roman" w:hAnsi="Times New Roman" w:cs="Times New Roman"/>
                <w:color w:val="000000" w:themeColor="text1"/>
                <w:sz w:val="24"/>
                <w:szCs w:val="24"/>
                <w:lang w:eastAsia="es-AR"/>
              </w:rPr>
              <w:t>blot</w:t>
            </w:r>
            <w:proofErr w:type="spellEnd"/>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veces, detección de RNA del HIV (para infección aguda)</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Endocarditis infecciosa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menudo, hay antecedentes de factores de riesgo (enfermedad cardíaca estructural, válvulas protésicas, enfermedad </w:t>
            </w:r>
            <w:proofErr w:type="spellStart"/>
            <w:r w:rsidRPr="00CF6413">
              <w:rPr>
                <w:rFonts w:ascii="Times New Roman" w:eastAsia="Times New Roman" w:hAnsi="Times New Roman" w:cs="Times New Roman"/>
                <w:color w:val="000000" w:themeColor="text1"/>
                <w:sz w:val="24"/>
                <w:szCs w:val="24"/>
                <w:lang w:eastAsia="es-AR"/>
              </w:rPr>
              <w:t>periodontal</w:t>
            </w:r>
            <w:proofErr w:type="spellEnd"/>
            <w:r w:rsidRPr="00CF6413">
              <w:rPr>
                <w:rFonts w:ascii="Times New Roman" w:eastAsia="Times New Roman" w:hAnsi="Times New Roman" w:cs="Times New Roman"/>
                <w:color w:val="000000" w:themeColor="text1"/>
                <w:sz w:val="24"/>
                <w:szCs w:val="24"/>
                <w:lang w:eastAsia="es-AR"/>
              </w:rPr>
              <w:t>, catéteres venosos, uso de drogas inyectables)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Generalmente soplo cardíaco, a veces manifestaciones </w:t>
            </w:r>
            <w:proofErr w:type="spellStart"/>
            <w:r w:rsidRPr="00CF6413">
              <w:rPr>
                <w:rFonts w:ascii="Times New Roman" w:eastAsia="Times New Roman" w:hAnsi="Times New Roman" w:cs="Times New Roman"/>
                <w:color w:val="000000" w:themeColor="text1"/>
                <w:sz w:val="24"/>
                <w:szCs w:val="24"/>
                <w:lang w:eastAsia="es-AR"/>
              </w:rPr>
              <w:t>extracardíacas</w:t>
            </w:r>
            <w:proofErr w:type="spellEnd"/>
            <w:r w:rsidRPr="00CF6413">
              <w:rPr>
                <w:rFonts w:ascii="Times New Roman" w:eastAsia="Times New Roman" w:hAnsi="Times New Roman" w:cs="Times New Roman"/>
                <w:color w:val="000000" w:themeColor="text1"/>
                <w:sz w:val="24"/>
                <w:szCs w:val="24"/>
                <w:lang w:eastAsia="es-AR"/>
              </w:rPr>
              <w:t xml:space="preserve"> (hemorragias en astilla, petequias, manchas de </w:t>
            </w:r>
            <w:proofErr w:type="spellStart"/>
            <w:r w:rsidRPr="00CF6413">
              <w:rPr>
                <w:rFonts w:ascii="Times New Roman" w:eastAsia="Times New Roman" w:hAnsi="Times New Roman" w:cs="Times New Roman"/>
                <w:color w:val="000000" w:themeColor="text1"/>
                <w:sz w:val="24"/>
                <w:szCs w:val="24"/>
                <w:lang w:eastAsia="es-AR"/>
              </w:rPr>
              <w:t>Roth</w:t>
            </w:r>
            <w:proofErr w:type="spellEnd"/>
            <w:r w:rsidRPr="00CF6413">
              <w:rPr>
                <w:rFonts w:ascii="Times New Roman" w:eastAsia="Times New Roman" w:hAnsi="Times New Roman" w:cs="Times New Roman"/>
                <w:color w:val="000000" w:themeColor="text1"/>
                <w:sz w:val="24"/>
                <w:szCs w:val="24"/>
                <w:lang w:eastAsia="es-AR"/>
              </w:rPr>
              <w:t xml:space="preserve">, nódulos de </w:t>
            </w:r>
            <w:proofErr w:type="spellStart"/>
            <w:r w:rsidRPr="00CF6413">
              <w:rPr>
                <w:rFonts w:ascii="Times New Roman" w:eastAsia="Times New Roman" w:hAnsi="Times New Roman" w:cs="Times New Roman"/>
                <w:color w:val="000000" w:themeColor="text1"/>
                <w:sz w:val="24"/>
                <w:szCs w:val="24"/>
                <w:lang w:eastAsia="es-AR"/>
              </w:rPr>
              <w:t>Osler</w:t>
            </w:r>
            <w:proofErr w:type="spellEnd"/>
            <w:r w:rsidRPr="00CF6413">
              <w:rPr>
                <w:rFonts w:ascii="Times New Roman" w:eastAsia="Times New Roman" w:hAnsi="Times New Roman" w:cs="Times New Roman"/>
                <w:color w:val="000000" w:themeColor="text1"/>
                <w:sz w:val="24"/>
                <w:szCs w:val="24"/>
                <w:lang w:eastAsia="es-AR"/>
              </w:rPr>
              <w:t xml:space="preserve">, lesiones de </w:t>
            </w:r>
            <w:proofErr w:type="spellStart"/>
            <w:r w:rsidRPr="00CF6413">
              <w:rPr>
                <w:rFonts w:ascii="Times New Roman" w:eastAsia="Times New Roman" w:hAnsi="Times New Roman" w:cs="Times New Roman"/>
                <w:color w:val="000000" w:themeColor="text1"/>
                <w:sz w:val="24"/>
                <w:szCs w:val="24"/>
                <w:lang w:eastAsia="es-AR"/>
              </w:rPr>
              <w:t>Janeway</w:t>
            </w:r>
            <w:proofErr w:type="spellEnd"/>
            <w:r w:rsidRPr="00CF6413">
              <w:rPr>
                <w:rFonts w:ascii="Times New Roman" w:eastAsia="Times New Roman" w:hAnsi="Times New Roman" w:cs="Times New Roman"/>
                <w:color w:val="000000" w:themeColor="text1"/>
                <w:sz w:val="24"/>
                <w:szCs w:val="24"/>
                <w:lang w:eastAsia="es-AR"/>
              </w:rPr>
              <w:t>, dolor o derrame articular, esplenomegalia)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Hemocultivos</w:t>
            </w:r>
            <w:proofErr w:type="spellEnd"/>
            <w:r w:rsidRPr="00CF6413">
              <w:rPr>
                <w:rFonts w:ascii="Times New Roman" w:eastAsia="Times New Roman" w:hAnsi="Times New Roman" w:cs="Times New Roman"/>
                <w:color w:val="000000" w:themeColor="text1"/>
                <w:sz w:val="24"/>
                <w:szCs w:val="24"/>
                <w:lang w:eastAsia="es-AR"/>
              </w:rPr>
              <w:t xml:space="preserve"> seriados, </w:t>
            </w:r>
            <w:proofErr w:type="spellStart"/>
            <w:r w:rsidRPr="00CF6413">
              <w:rPr>
                <w:rFonts w:ascii="Times New Roman" w:eastAsia="Times New Roman" w:hAnsi="Times New Roman" w:cs="Times New Roman"/>
                <w:color w:val="000000" w:themeColor="text1"/>
                <w:sz w:val="24"/>
                <w:szCs w:val="24"/>
                <w:lang w:eastAsia="es-AR"/>
              </w:rPr>
              <w:t>ecocardiograma</w:t>
            </w:r>
            <w:proofErr w:type="spellEnd"/>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Enfermedad de </w:t>
            </w:r>
            <w:proofErr w:type="spellStart"/>
            <w:r w:rsidRPr="00CF6413">
              <w:rPr>
                <w:rFonts w:ascii="Times New Roman" w:eastAsia="Times New Roman" w:hAnsi="Times New Roman" w:cs="Times New Roman"/>
                <w:color w:val="000000" w:themeColor="text1"/>
                <w:sz w:val="24"/>
                <w:szCs w:val="24"/>
                <w:lang w:eastAsia="es-AR"/>
              </w:rPr>
              <w:t>Lyme</w:t>
            </w:r>
            <w:proofErr w:type="spellEnd"/>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Visitas o residencia en una zona endémica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Erupción eritematosa migrante, cefalea, cansancio, parálisis de Bell, meningitis, </w:t>
            </w:r>
            <w:proofErr w:type="spellStart"/>
            <w:r w:rsidRPr="00CF6413">
              <w:rPr>
                <w:rFonts w:ascii="Times New Roman" w:eastAsia="Times New Roman" w:hAnsi="Times New Roman" w:cs="Times New Roman"/>
                <w:color w:val="000000" w:themeColor="text1"/>
                <w:sz w:val="24"/>
                <w:szCs w:val="24"/>
                <w:lang w:eastAsia="es-AR"/>
              </w:rPr>
              <w:t>radiculopatías</w:t>
            </w:r>
            <w:proofErr w:type="spellEnd"/>
            <w:r w:rsidRPr="00CF6413">
              <w:rPr>
                <w:rFonts w:ascii="Times New Roman" w:eastAsia="Times New Roman" w:hAnsi="Times New Roman" w:cs="Times New Roman"/>
                <w:color w:val="000000" w:themeColor="text1"/>
                <w:sz w:val="24"/>
                <w:szCs w:val="24"/>
                <w:lang w:eastAsia="es-AR"/>
              </w:rPr>
              <w:t>, bloqueo cardíaco, dolor e hinchazón articular</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Análisis serológico</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Osteomielitis</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Dolor localizado, hinchazón, eritema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Radiografías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veces RM (prueba más exacta), escaneo de </w:t>
            </w:r>
            <w:proofErr w:type="spellStart"/>
            <w:r w:rsidRPr="00CF6413">
              <w:rPr>
                <w:rFonts w:ascii="Times New Roman" w:eastAsia="Times New Roman" w:hAnsi="Times New Roman" w:cs="Times New Roman"/>
                <w:color w:val="000000" w:themeColor="text1"/>
                <w:sz w:val="24"/>
                <w:szCs w:val="24"/>
                <w:lang w:eastAsia="es-AR"/>
              </w:rPr>
              <w:t>radionucleidos</w:t>
            </w:r>
            <w:proofErr w:type="spellEnd"/>
            <w:r w:rsidRPr="00CF6413">
              <w:rPr>
                <w:rFonts w:ascii="Times New Roman" w:eastAsia="Times New Roman" w:hAnsi="Times New Roman" w:cs="Times New Roman"/>
                <w:color w:val="000000" w:themeColor="text1"/>
                <w:sz w:val="24"/>
                <w:szCs w:val="24"/>
                <w:lang w:eastAsia="es-AR"/>
              </w:rPr>
              <w:t xml:space="preserve"> con indio-111, gammagrafía ósea</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lastRenderedPageBreak/>
              <w:t>Sinusitis</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Congestión prolongada, cefalea, dolor facial</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TC de los senos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Tuberculosis (pulmonar y diseminada)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riesgo de exposición</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Tos, pérdida de peso, cansancio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Administración de inmunosupresores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infección por HIV</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Radiografía de tórax, PPD, ensayo de liberación de </w:t>
            </w:r>
            <w:proofErr w:type="spellStart"/>
            <w:r w:rsidRPr="00CF6413">
              <w:rPr>
                <w:rFonts w:ascii="Times New Roman" w:eastAsia="Times New Roman" w:hAnsi="Times New Roman" w:cs="Times New Roman"/>
                <w:color w:val="000000" w:themeColor="text1"/>
                <w:sz w:val="24"/>
                <w:szCs w:val="24"/>
                <w:lang w:eastAsia="es-AR"/>
              </w:rPr>
              <w:t>interferón</w:t>
            </w:r>
            <w:proofErr w:type="spellEnd"/>
            <w:r w:rsidRPr="00CF6413">
              <w:rPr>
                <w:rFonts w:ascii="Times New Roman" w:eastAsia="Times New Roman" w:hAnsi="Times New Roman" w:cs="Times New Roman"/>
                <w:color w:val="000000" w:themeColor="text1"/>
                <w:sz w:val="24"/>
                <w:szCs w:val="24"/>
                <w:lang w:eastAsia="es-AR"/>
              </w:rPr>
              <w:t xml:space="preserve"> gamma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Baciloscopia</w:t>
            </w:r>
            <w:proofErr w:type="spellEnd"/>
            <w:r w:rsidRPr="00CF6413">
              <w:rPr>
                <w:rFonts w:ascii="Times New Roman" w:eastAsia="Times New Roman" w:hAnsi="Times New Roman" w:cs="Times New Roman"/>
                <w:color w:val="000000" w:themeColor="text1"/>
                <w:sz w:val="24"/>
                <w:szCs w:val="24"/>
                <w:lang w:eastAsia="es-AR"/>
              </w:rPr>
              <w:t xml:space="preserve"> del esputo, prueba de amplificación de ácidos </w:t>
            </w:r>
            <w:proofErr w:type="spellStart"/>
            <w:r w:rsidRPr="00CF6413">
              <w:rPr>
                <w:rFonts w:ascii="Times New Roman" w:eastAsia="Times New Roman" w:hAnsi="Times New Roman" w:cs="Times New Roman"/>
                <w:color w:val="000000" w:themeColor="text1"/>
                <w:sz w:val="24"/>
                <w:szCs w:val="24"/>
                <w:lang w:eastAsia="es-AR"/>
              </w:rPr>
              <w:t>nucleicos</w:t>
            </w:r>
            <w:proofErr w:type="spellEnd"/>
            <w:r w:rsidRPr="00CF6413">
              <w:rPr>
                <w:rFonts w:ascii="Times New Roman" w:eastAsia="Times New Roman" w:hAnsi="Times New Roman" w:cs="Times New Roman"/>
                <w:color w:val="000000" w:themeColor="text1"/>
                <w:sz w:val="24"/>
                <w:szCs w:val="24"/>
                <w:lang w:eastAsia="es-AR"/>
              </w:rPr>
              <w:t>, cultivo de líquidos corporales (aspirados gástricos, esputo, LCR)</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Infecciones infrecuentes (brucelosis, paludismo, fiebre Q, toxoplasmosis, triquinosis, fiebre tifoidea)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viajes a zonas endémicas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Explosición</w:t>
            </w:r>
            <w:proofErr w:type="spellEnd"/>
            <w:r w:rsidRPr="00CF6413">
              <w:rPr>
                <w:rFonts w:ascii="Times New Roman" w:eastAsia="Times New Roman" w:hAnsi="Times New Roman" w:cs="Times New Roman"/>
                <w:color w:val="000000" w:themeColor="text1"/>
                <w:sz w:val="24"/>
                <w:szCs w:val="24"/>
                <w:lang w:eastAsia="es-AR"/>
              </w:rPr>
              <w:t xml:space="preserve"> o ingesta de determinados productos animales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Análisis serológicos para cada causa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Frotis</w:t>
            </w:r>
            <w:proofErr w:type="spellEnd"/>
            <w:r w:rsidRPr="00CF6413">
              <w:rPr>
                <w:rFonts w:ascii="Times New Roman" w:eastAsia="Times New Roman" w:hAnsi="Times New Roman" w:cs="Times New Roman"/>
                <w:color w:val="000000" w:themeColor="text1"/>
                <w:sz w:val="24"/>
                <w:szCs w:val="24"/>
                <w:lang w:eastAsia="es-AR"/>
              </w:rPr>
              <w:t xml:space="preserve"> de sangre periférica para paludismo</w:t>
            </w:r>
          </w:p>
        </w:tc>
      </w:tr>
      <w:tr w:rsidR="00CF6413" w:rsidRPr="00CF6413" w:rsidTr="00CF6413">
        <w:tc>
          <w:tcPr>
            <w:tcW w:w="10728" w:type="dxa"/>
            <w:gridSpan w:val="3"/>
            <w:tcBorders>
              <w:top w:val="single" w:sz="12" w:space="0" w:color="9BA3A9"/>
              <w:left w:val="single" w:sz="4" w:space="0" w:color="FFFFFF"/>
              <w:bottom w:val="single" w:sz="12" w:space="0" w:color="9BA3A9"/>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Tejido conectivo</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Enfermedad de </w:t>
            </w:r>
            <w:proofErr w:type="spellStart"/>
            <w:r w:rsidRPr="00CF6413">
              <w:rPr>
                <w:rFonts w:ascii="Times New Roman" w:eastAsia="Times New Roman" w:hAnsi="Times New Roman" w:cs="Times New Roman"/>
                <w:color w:val="000000" w:themeColor="text1"/>
                <w:sz w:val="24"/>
                <w:szCs w:val="24"/>
                <w:lang w:eastAsia="es-AR"/>
              </w:rPr>
              <w:t>Still</w:t>
            </w:r>
            <w:proofErr w:type="spellEnd"/>
            <w:r w:rsidRPr="00CF6413">
              <w:rPr>
                <w:rFonts w:ascii="Times New Roman" w:eastAsia="Times New Roman" w:hAnsi="Times New Roman" w:cs="Times New Roman"/>
                <w:color w:val="000000" w:themeColor="text1"/>
                <w:sz w:val="24"/>
                <w:szCs w:val="24"/>
                <w:lang w:eastAsia="es-AR"/>
              </w:rPr>
              <w:t xml:space="preserve"> del adulto</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Erupción evanescente color salmón, artralgias, artritis, mialgias, adenopatía cervical, dolor de garganta, tos, dolor del tórax</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ANA, RF, concentración de ferritina sérica, radiografía de las articulaciones afectadas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Arteritis de células gigantes (arteritis temporal)</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Cefalea unilateral, alteraciones visuales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menudo, síntomas de </w:t>
            </w:r>
            <w:proofErr w:type="spellStart"/>
            <w:r w:rsidRPr="00CF6413">
              <w:rPr>
                <w:rFonts w:ascii="Times New Roman" w:eastAsia="Times New Roman" w:hAnsi="Times New Roman" w:cs="Times New Roman"/>
                <w:color w:val="000000" w:themeColor="text1"/>
                <w:sz w:val="24"/>
                <w:szCs w:val="24"/>
                <w:lang w:eastAsia="es-AR"/>
              </w:rPr>
              <w:t>polimialgia</w:t>
            </w:r>
            <w:proofErr w:type="spellEnd"/>
            <w:r w:rsidRPr="00CF6413">
              <w:rPr>
                <w:rFonts w:ascii="Times New Roman" w:eastAsia="Times New Roman" w:hAnsi="Times New Roman" w:cs="Times New Roman"/>
                <w:color w:val="000000" w:themeColor="text1"/>
                <w:sz w:val="24"/>
                <w:szCs w:val="24"/>
                <w:lang w:eastAsia="es-AR"/>
              </w:rPr>
              <w:t xml:space="preserve"> reumática; a veces, claudicación de la mandíbula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Dolor a la palpación de la arteria temporal</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Eritrosedimentación</w:t>
            </w:r>
            <w:proofErr w:type="spellEnd"/>
            <w:r w:rsidRPr="00CF6413">
              <w:rPr>
                <w:rFonts w:ascii="Times New Roman" w:eastAsia="Times New Roman" w:hAnsi="Times New Roman" w:cs="Times New Roman"/>
                <w:color w:val="000000" w:themeColor="text1"/>
                <w:sz w:val="24"/>
                <w:szCs w:val="24"/>
                <w:lang w:eastAsia="es-AR"/>
              </w:rPr>
              <w:t>, biopsia de la arteria temporal</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Poliarteritis</w:t>
            </w:r>
            <w:proofErr w:type="spellEnd"/>
            <w:r w:rsidRPr="00CF6413">
              <w:rPr>
                <w:rFonts w:ascii="Times New Roman" w:eastAsia="Times New Roman" w:hAnsi="Times New Roman" w:cs="Times New Roman"/>
                <w:color w:val="000000" w:themeColor="text1"/>
                <w:sz w:val="24"/>
                <w:szCs w:val="24"/>
                <w:lang w:eastAsia="es-AR"/>
              </w:rPr>
              <w:t xml:space="preserve"> nudosa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Fiebre, pérdida de peso, mialgias, artralgias, púrpura, hematuria, dolor abdominal, dolor testicular, angina, </w:t>
            </w:r>
            <w:proofErr w:type="spellStart"/>
            <w:r w:rsidRPr="00CF6413">
              <w:rPr>
                <w:rFonts w:ascii="Times New Roman" w:eastAsia="Times New Roman" w:hAnsi="Times New Roman" w:cs="Times New Roman"/>
                <w:color w:val="000000" w:themeColor="text1"/>
                <w:sz w:val="24"/>
                <w:szCs w:val="24"/>
                <w:lang w:eastAsia="es-AR"/>
              </w:rPr>
              <w:t>livedo</w:t>
            </w:r>
            <w:proofErr w:type="spellEnd"/>
            <w:r w:rsidRPr="00CF6413">
              <w:rPr>
                <w:rFonts w:ascii="Times New Roman" w:eastAsia="Times New Roman" w:hAnsi="Times New Roman" w:cs="Times New Roman"/>
                <w:color w:val="000000" w:themeColor="text1"/>
                <w:sz w:val="24"/>
                <w:szCs w:val="24"/>
                <w:lang w:eastAsia="es-AR"/>
              </w:rPr>
              <w:t xml:space="preserve"> </w:t>
            </w:r>
            <w:proofErr w:type="spellStart"/>
            <w:r w:rsidRPr="00CF6413">
              <w:rPr>
                <w:rFonts w:ascii="Times New Roman" w:eastAsia="Times New Roman" w:hAnsi="Times New Roman" w:cs="Times New Roman"/>
                <w:color w:val="000000" w:themeColor="text1"/>
                <w:sz w:val="24"/>
                <w:szCs w:val="24"/>
                <w:lang w:eastAsia="es-AR"/>
              </w:rPr>
              <w:t>reticularis</w:t>
            </w:r>
            <w:proofErr w:type="spellEnd"/>
            <w:r w:rsidRPr="00CF6413">
              <w:rPr>
                <w:rFonts w:ascii="Times New Roman" w:eastAsia="Times New Roman" w:hAnsi="Times New Roman" w:cs="Times New Roman"/>
                <w:color w:val="000000" w:themeColor="text1"/>
                <w:sz w:val="24"/>
                <w:szCs w:val="24"/>
                <w:lang w:eastAsia="es-AR"/>
              </w:rPr>
              <w:t>, hipertensión de aparición reciente</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Biopsia de los tejidos afectados o angiografía</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Polimialgia</w:t>
            </w:r>
            <w:proofErr w:type="spellEnd"/>
            <w:r w:rsidRPr="00CF6413">
              <w:rPr>
                <w:rFonts w:ascii="Times New Roman" w:eastAsia="Times New Roman" w:hAnsi="Times New Roman" w:cs="Times New Roman"/>
                <w:color w:val="000000" w:themeColor="text1"/>
                <w:sz w:val="24"/>
                <w:szCs w:val="24"/>
                <w:lang w:eastAsia="es-AR"/>
              </w:rPr>
              <w:t xml:space="preserve"> reumática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rigidez matinal en espalda, caderas y cuello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Malestar, cansancio, anorexia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Posiblemente sinovitis, bursitis, edema con fóvea de los miembros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Creatinincinasa</w:t>
            </w:r>
            <w:proofErr w:type="spellEnd"/>
            <w:r w:rsidRPr="00CF6413">
              <w:rPr>
                <w:rFonts w:ascii="Times New Roman" w:eastAsia="Times New Roman" w:hAnsi="Times New Roman" w:cs="Times New Roman"/>
                <w:color w:val="000000" w:themeColor="text1"/>
                <w:sz w:val="24"/>
                <w:szCs w:val="24"/>
                <w:lang w:eastAsia="es-AR"/>
              </w:rPr>
              <w:t xml:space="preserve">, ANA, RF, </w:t>
            </w:r>
            <w:proofErr w:type="spellStart"/>
            <w:r w:rsidRPr="00CF6413">
              <w:rPr>
                <w:rFonts w:ascii="Times New Roman" w:eastAsia="Times New Roman" w:hAnsi="Times New Roman" w:cs="Times New Roman"/>
                <w:color w:val="000000" w:themeColor="text1"/>
                <w:sz w:val="24"/>
                <w:szCs w:val="24"/>
                <w:lang w:eastAsia="es-AR"/>
              </w:rPr>
              <w:t>eritrosedimentación</w:t>
            </w:r>
            <w:proofErr w:type="spellEnd"/>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Posible RM de los miembros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Artritis reactiva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veces, antecedentes de infección reciente por </w:t>
            </w:r>
            <w:r w:rsidRPr="00CF6413">
              <w:rPr>
                <w:rFonts w:ascii="Times New Roman" w:eastAsia="Times New Roman" w:hAnsi="Times New Roman" w:cs="Times New Roman"/>
                <w:i/>
                <w:iCs/>
                <w:color w:val="000000" w:themeColor="text1"/>
                <w:sz w:val="24"/>
                <w:szCs w:val="24"/>
                <w:lang w:eastAsia="es-AR"/>
              </w:rPr>
              <w:t>Chlamydia</w:t>
            </w:r>
            <w:r w:rsidRPr="00CF6413">
              <w:rPr>
                <w:rFonts w:ascii="Times New Roman" w:eastAsia="Times New Roman" w:hAnsi="Times New Roman" w:cs="Times New Roman"/>
                <w:color w:val="000000" w:themeColor="text1"/>
                <w:sz w:val="24"/>
                <w:szCs w:val="24"/>
                <w:lang w:eastAsia="es-AR"/>
              </w:rPr>
              <w:t>, </w:t>
            </w:r>
            <w:r w:rsidRPr="00CF6413">
              <w:rPr>
                <w:rFonts w:ascii="Times New Roman" w:eastAsia="Times New Roman" w:hAnsi="Times New Roman" w:cs="Times New Roman"/>
                <w:i/>
                <w:iCs/>
                <w:color w:val="000000" w:themeColor="text1"/>
                <w:sz w:val="24"/>
                <w:szCs w:val="24"/>
                <w:lang w:eastAsia="es-AR"/>
              </w:rPr>
              <w:t>Salmonella</w:t>
            </w:r>
            <w:r w:rsidRPr="00CF6413">
              <w:rPr>
                <w:rFonts w:ascii="Times New Roman" w:eastAsia="Times New Roman" w:hAnsi="Times New Roman" w:cs="Times New Roman"/>
                <w:color w:val="000000" w:themeColor="text1"/>
                <w:sz w:val="24"/>
                <w:szCs w:val="24"/>
                <w:lang w:eastAsia="es-AR"/>
              </w:rPr>
              <w:t>, </w:t>
            </w:r>
            <w:proofErr w:type="spellStart"/>
            <w:r w:rsidRPr="00CF6413">
              <w:rPr>
                <w:rFonts w:ascii="Times New Roman" w:eastAsia="Times New Roman" w:hAnsi="Times New Roman" w:cs="Times New Roman"/>
                <w:i/>
                <w:iCs/>
                <w:color w:val="000000" w:themeColor="text1"/>
                <w:sz w:val="24"/>
                <w:szCs w:val="24"/>
                <w:lang w:eastAsia="es-AR"/>
              </w:rPr>
              <w:t>Yersinia</w:t>
            </w:r>
            <w:proofErr w:type="spellEnd"/>
            <w:r w:rsidRPr="00CF6413">
              <w:rPr>
                <w:rFonts w:ascii="Times New Roman" w:eastAsia="Times New Roman" w:hAnsi="Times New Roman" w:cs="Times New Roman"/>
                <w:color w:val="000000" w:themeColor="text1"/>
                <w:sz w:val="24"/>
                <w:szCs w:val="24"/>
                <w:lang w:eastAsia="es-AR"/>
              </w:rPr>
              <w:t>, </w:t>
            </w:r>
            <w:r w:rsidRPr="00CF6413">
              <w:rPr>
                <w:rFonts w:ascii="Times New Roman" w:eastAsia="Times New Roman" w:hAnsi="Times New Roman" w:cs="Times New Roman"/>
                <w:i/>
                <w:iCs/>
                <w:color w:val="000000" w:themeColor="text1"/>
                <w:sz w:val="24"/>
                <w:szCs w:val="24"/>
                <w:lang w:eastAsia="es-AR"/>
              </w:rPr>
              <w:t>Campylobacter</w:t>
            </w:r>
            <w:r w:rsidRPr="00CF6413">
              <w:rPr>
                <w:rFonts w:ascii="Times New Roman" w:eastAsia="Times New Roman" w:hAnsi="Times New Roman" w:cs="Times New Roman"/>
                <w:color w:val="000000" w:themeColor="text1"/>
                <w:sz w:val="24"/>
                <w:szCs w:val="24"/>
                <w:lang w:eastAsia="es-AR"/>
              </w:rPr>
              <w:t>, o </w:t>
            </w:r>
            <w:proofErr w:type="spellStart"/>
            <w:r w:rsidRPr="00CF6413">
              <w:rPr>
                <w:rFonts w:ascii="Times New Roman" w:eastAsia="Times New Roman" w:hAnsi="Times New Roman" w:cs="Times New Roman"/>
                <w:i/>
                <w:iCs/>
                <w:color w:val="000000" w:themeColor="text1"/>
                <w:sz w:val="24"/>
                <w:szCs w:val="24"/>
                <w:lang w:eastAsia="es-AR"/>
              </w:rPr>
              <w:t>Shigella</w:t>
            </w:r>
            <w:proofErr w:type="spellEnd"/>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Oligoartritis</w:t>
            </w:r>
            <w:proofErr w:type="spellEnd"/>
            <w:r w:rsidRPr="00CF6413">
              <w:rPr>
                <w:rFonts w:ascii="Times New Roman" w:eastAsia="Times New Roman" w:hAnsi="Times New Roman" w:cs="Times New Roman"/>
                <w:color w:val="000000" w:themeColor="text1"/>
                <w:sz w:val="24"/>
                <w:szCs w:val="24"/>
                <w:lang w:eastAsia="es-AR"/>
              </w:rPr>
              <w:t xml:space="preserve"> asimétrica, uretritis, conjuntivitis, ulceraciones genitales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ANA, RF, análisis serológicos para los patógenos causantes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Artritis </w:t>
            </w:r>
            <w:proofErr w:type="spellStart"/>
            <w:r w:rsidRPr="00CF6413">
              <w:rPr>
                <w:rFonts w:ascii="Times New Roman" w:eastAsia="Times New Roman" w:hAnsi="Times New Roman" w:cs="Times New Roman"/>
                <w:color w:val="000000" w:themeColor="text1"/>
                <w:sz w:val="24"/>
                <w:szCs w:val="24"/>
                <w:lang w:eastAsia="es-AR"/>
              </w:rPr>
              <w:t>reumatoidea</w:t>
            </w:r>
            <w:proofErr w:type="spellEnd"/>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Poliartritis</w:t>
            </w:r>
            <w:proofErr w:type="spellEnd"/>
            <w:r w:rsidRPr="00CF6413">
              <w:rPr>
                <w:rFonts w:ascii="Times New Roman" w:eastAsia="Times New Roman" w:hAnsi="Times New Roman" w:cs="Times New Roman"/>
                <w:color w:val="000000" w:themeColor="text1"/>
                <w:sz w:val="24"/>
                <w:szCs w:val="24"/>
                <w:lang w:eastAsia="es-AR"/>
              </w:rPr>
              <w:t xml:space="preserve"> simétrica periférica, rigidez matinal prolongada, nódulos </w:t>
            </w:r>
            <w:proofErr w:type="spellStart"/>
            <w:r w:rsidRPr="00CF6413">
              <w:rPr>
                <w:rFonts w:ascii="Times New Roman" w:eastAsia="Times New Roman" w:hAnsi="Times New Roman" w:cs="Times New Roman"/>
                <w:color w:val="000000" w:themeColor="text1"/>
                <w:sz w:val="24"/>
                <w:szCs w:val="24"/>
                <w:lang w:eastAsia="es-AR"/>
              </w:rPr>
              <w:t>reumatoideos</w:t>
            </w:r>
            <w:proofErr w:type="spellEnd"/>
            <w:r w:rsidRPr="00CF6413">
              <w:rPr>
                <w:rFonts w:ascii="Times New Roman" w:eastAsia="Times New Roman" w:hAnsi="Times New Roman" w:cs="Times New Roman"/>
                <w:color w:val="000000" w:themeColor="text1"/>
                <w:sz w:val="24"/>
                <w:szCs w:val="24"/>
                <w:lang w:eastAsia="es-AR"/>
              </w:rPr>
              <w:t xml:space="preserve"> subcutáneos en sitios de presión (superficie extensora del cúbito, sacro, nuca, tendón de Aquiles)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ANA, RF, anticuerpos anti-</w:t>
            </w:r>
            <w:proofErr w:type="spellStart"/>
            <w:r w:rsidRPr="00CF6413">
              <w:rPr>
                <w:rFonts w:ascii="Times New Roman" w:eastAsia="Times New Roman" w:hAnsi="Times New Roman" w:cs="Times New Roman"/>
                <w:color w:val="000000" w:themeColor="text1"/>
                <w:sz w:val="24"/>
                <w:szCs w:val="24"/>
                <w:lang w:eastAsia="es-AR"/>
              </w:rPr>
              <w:t>pépido</w:t>
            </w:r>
            <w:proofErr w:type="spellEnd"/>
            <w:r w:rsidRPr="00CF6413">
              <w:rPr>
                <w:rFonts w:ascii="Times New Roman" w:eastAsia="Times New Roman" w:hAnsi="Times New Roman" w:cs="Times New Roman"/>
                <w:color w:val="000000" w:themeColor="text1"/>
                <w:sz w:val="24"/>
                <w:szCs w:val="24"/>
                <w:lang w:eastAsia="es-AR"/>
              </w:rPr>
              <w:t xml:space="preserve"> </w:t>
            </w:r>
            <w:proofErr w:type="spellStart"/>
            <w:r w:rsidRPr="00CF6413">
              <w:rPr>
                <w:rFonts w:ascii="Times New Roman" w:eastAsia="Times New Roman" w:hAnsi="Times New Roman" w:cs="Times New Roman"/>
                <w:color w:val="000000" w:themeColor="text1"/>
                <w:sz w:val="24"/>
                <w:szCs w:val="24"/>
                <w:lang w:eastAsia="es-AR"/>
              </w:rPr>
              <w:t>citrulinado</w:t>
            </w:r>
            <w:proofErr w:type="spellEnd"/>
            <w:r w:rsidRPr="00CF6413">
              <w:rPr>
                <w:rFonts w:ascii="Times New Roman" w:eastAsia="Times New Roman" w:hAnsi="Times New Roman" w:cs="Times New Roman"/>
                <w:color w:val="000000" w:themeColor="text1"/>
                <w:sz w:val="24"/>
                <w:szCs w:val="24"/>
                <w:lang w:eastAsia="es-AR"/>
              </w:rPr>
              <w:t xml:space="preserve"> (anti-CCP), radiografías (para identificar erosiones óseas)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LES</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Cansancio, artralgia, dolor pleurítico de el tórax, erupción malar, hinchazón y dolor de articulaciones, edema periférico leve, síndrome de </w:t>
            </w:r>
            <w:proofErr w:type="spellStart"/>
            <w:r w:rsidRPr="00CF6413">
              <w:rPr>
                <w:rFonts w:ascii="Times New Roman" w:eastAsia="Times New Roman" w:hAnsi="Times New Roman" w:cs="Times New Roman"/>
                <w:color w:val="000000" w:themeColor="text1"/>
                <w:sz w:val="24"/>
                <w:szCs w:val="24"/>
                <w:lang w:eastAsia="es-AR"/>
              </w:rPr>
              <w:t>Raynaud</w:t>
            </w:r>
            <w:proofErr w:type="spellEnd"/>
            <w:r w:rsidRPr="00CF6413">
              <w:rPr>
                <w:rFonts w:ascii="Times New Roman" w:eastAsia="Times New Roman" w:hAnsi="Times New Roman" w:cs="Times New Roman"/>
                <w:color w:val="000000" w:themeColor="text1"/>
                <w:sz w:val="24"/>
                <w:szCs w:val="24"/>
                <w:lang w:eastAsia="es-AR"/>
              </w:rPr>
              <w:t xml:space="preserve">, </w:t>
            </w:r>
            <w:proofErr w:type="spellStart"/>
            <w:r w:rsidRPr="00CF6413">
              <w:rPr>
                <w:rFonts w:ascii="Times New Roman" w:eastAsia="Times New Roman" w:hAnsi="Times New Roman" w:cs="Times New Roman"/>
                <w:color w:val="000000" w:themeColor="text1"/>
                <w:sz w:val="24"/>
                <w:szCs w:val="24"/>
                <w:lang w:eastAsia="es-AR"/>
              </w:rPr>
              <w:t>serositis</w:t>
            </w:r>
            <w:proofErr w:type="spellEnd"/>
            <w:r w:rsidRPr="00CF6413">
              <w:rPr>
                <w:rFonts w:ascii="Times New Roman" w:eastAsia="Times New Roman" w:hAnsi="Times New Roman" w:cs="Times New Roman"/>
                <w:color w:val="000000" w:themeColor="text1"/>
                <w:sz w:val="24"/>
                <w:szCs w:val="24"/>
                <w:lang w:eastAsia="es-AR"/>
              </w:rPr>
              <w:t>, nefritis, alopecia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Criterios clínicos, ANA, anticuerpos anti-DNA de doble cadena</w:t>
            </w:r>
          </w:p>
        </w:tc>
      </w:tr>
      <w:tr w:rsidR="00CF6413" w:rsidRPr="00CF6413" w:rsidTr="00CF6413">
        <w:tc>
          <w:tcPr>
            <w:tcW w:w="10728" w:type="dxa"/>
            <w:gridSpan w:val="3"/>
            <w:tcBorders>
              <w:top w:val="single" w:sz="12" w:space="0" w:color="9BA3A9"/>
              <w:left w:val="single" w:sz="4" w:space="0" w:color="FFFFFF"/>
              <w:bottom w:val="single" w:sz="12" w:space="0" w:color="9BA3A9"/>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proofErr w:type="spellStart"/>
            <w:r w:rsidRPr="00CF6413">
              <w:rPr>
                <w:rFonts w:ascii="Times New Roman" w:eastAsia="Times New Roman" w:hAnsi="Times New Roman" w:cs="Times New Roman"/>
                <w:b/>
                <w:bCs/>
                <w:color w:val="000000" w:themeColor="text1"/>
                <w:sz w:val="24"/>
                <w:szCs w:val="24"/>
                <w:lang w:eastAsia="es-AR"/>
              </w:rPr>
              <w:lastRenderedPageBreak/>
              <w:t>Neoplásicas</w:t>
            </w:r>
            <w:proofErr w:type="spellEnd"/>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Cáncer de colon</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Dolor abdominal, cambio de hábitos intestinales, </w:t>
            </w:r>
            <w:proofErr w:type="spellStart"/>
            <w:r w:rsidRPr="00CF6413">
              <w:rPr>
                <w:rFonts w:ascii="Times New Roman" w:eastAsia="Times New Roman" w:hAnsi="Times New Roman" w:cs="Times New Roman"/>
                <w:color w:val="000000" w:themeColor="text1"/>
                <w:sz w:val="24"/>
                <w:szCs w:val="24"/>
                <w:lang w:eastAsia="es-AR"/>
              </w:rPr>
              <w:t>hematoquecia</w:t>
            </w:r>
            <w:proofErr w:type="spellEnd"/>
            <w:r w:rsidRPr="00CF6413">
              <w:rPr>
                <w:rFonts w:ascii="Times New Roman" w:eastAsia="Times New Roman" w:hAnsi="Times New Roman" w:cs="Times New Roman"/>
                <w:color w:val="000000" w:themeColor="text1"/>
                <w:sz w:val="24"/>
                <w:szCs w:val="24"/>
                <w:lang w:eastAsia="es-AR"/>
              </w:rPr>
              <w:t>, debilidad, náuseas, vómitos, pérdida de peso, cansancio</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Colonoscopia, biopsia</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Hepatoma</w:t>
            </w:r>
            <w:proofErr w:type="spellEnd"/>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enfermedad hepática crónica, dolor abdominal, pérdida de peso, saciedad temprana, masa palpable en el cuadrante superior derecho</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Ecografía y TC abdominal, biopsia de hígado</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Leucemia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veces, antecedente de trastorno </w:t>
            </w:r>
            <w:proofErr w:type="spellStart"/>
            <w:r w:rsidRPr="00CF6413">
              <w:rPr>
                <w:rFonts w:ascii="Times New Roman" w:eastAsia="Times New Roman" w:hAnsi="Times New Roman" w:cs="Times New Roman"/>
                <w:color w:val="000000" w:themeColor="text1"/>
                <w:sz w:val="24"/>
                <w:szCs w:val="24"/>
                <w:lang w:eastAsia="es-AR"/>
              </w:rPr>
              <w:t>mielodisplásico</w:t>
            </w:r>
            <w:proofErr w:type="spellEnd"/>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Cansancio, pérdida de peso, hemorragia, palidez, petequias, equimosis, anorexia, esplenomegalia, dolor óseo</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Hemograma completo, examen de la médula ósea</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Linfoma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Adenopatía indolora, pérdida de peso, malestar, sudoraciones nocturnas, esplenomegalia, hepatomegalia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Bipsia</w:t>
            </w:r>
            <w:proofErr w:type="spellEnd"/>
            <w:r w:rsidRPr="00CF6413">
              <w:rPr>
                <w:rFonts w:ascii="Times New Roman" w:eastAsia="Times New Roman" w:hAnsi="Times New Roman" w:cs="Times New Roman"/>
                <w:color w:val="000000" w:themeColor="text1"/>
                <w:sz w:val="24"/>
                <w:szCs w:val="24"/>
                <w:lang w:eastAsia="es-AR"/>
              </w:rPr>
              <w:t xml:space="preserve"> de ganglios linfáticos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Cáncer </w:t>
            </w:r>
            <w:proofErr w:type="spellStart"/>
            <w:r w:rsidRPr="00CF6413">
              <w:rPr>
                <w:rFonts w:ascii="Times New Roman" w:eastAsia="Times New Roman" w:hAnsi="Times New Roman" w:cs="Times New Roman"/>
                <w:color w:val="000000" w:themeColor="text1"/>
                <w:sz w:val="24"/>
                <w:szCs w:val="24"/>
                <w:lang w:eastAsia="es-AR"/>
              </w:rPr>
              <w:t>metastásico</w:t>
            </w:r>
            <w:proofErr w:type="spellEnd"/>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Síntomas que dependen del sitio de la metástasis (tos y dificultad respiratoria para metástasis pulmonar, cefalea y mareos para metástasis cerebral)</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menudo asintomático, se descubre en un examen médico de rutina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Biopsia de la masa o ganglio sospechoso, imágenes de acuerdo con la zona de interés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Trastornos </w:t>
            </w:r>
            <w:proofErr w:type="spellStart"/>
            <w:r w:rsidRPr="00CF6413">
              <w:rPr>
                <w:rFonts w:ascii="Times New Roman" w:eastAsia="Times New Roman" w:hAnsi="Times New Roman" w:cs="Times New Roman"/>
                <w:color w:val="000000" w:themeColor="text1"/>
                <w:sz w:val="24"/>
                <w:szCs w:val="24"/>
                <w:lang w:eastAsia="es-AR"/>
              </w:rPr>
              <w:t>mieloproliferativos</w:t>
            </w:r>
            <w:proofErr w:type="spellEnd"/>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menudo asintomático, índices anormales que se detectan accidentalmente en un hemograma de control</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Pruebas basadas en el trastorno sospechado</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Carcinoma de células renales</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Pérdida de peso, sudoraciones nocturnas, dolor en los flancos, hematuria, masa palpable en el tórax, hipertensión</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Calcemia (buscar </w:t>
            </w:r>
            <w:proofErr w:type="spellStart"/>
            <w:r w:rsidRPr="00CF6413">
              <w:rPr>
                <w:rFonts w:ascii="Times New Roman" w:eastAsia="Times New Roman" w:hAnsi="Times New Roman" w:cs="Times New Roman"/>
                <w:color w:val="000000" w:themeColor="text1"/>
                <w:sz w:val="24"/>
                <w:szCs w:val="24"/>
                <w:lang w:eastAsia="es-AR"/>
              </w:rPr>
              <w:t>hipercalcemia</w:t>
            </w:r>
            <w:proofErr w:type="spellEnd"/>
            <w:r w:rsidRPr="00CF6413">
              <w:rPr>
                <w:rFonts w:ascii="Times New Roman" w:eastAsia="Times New Roman" w:hAnsi="Times New Roman" w:cs="Times New Roman"/>
                <w:color w:val="000000" w:themeColor="text1"/>
                <w:sz w:val="24"/>
                <w:szCs w:val="24"/>
                <w:lang w:eastAsia="es-AR"/>
              </w:rPr>
              <w:t>), análisis de orina, TC de los riñones</w:t>
            </w:r>
          </w:p>
        </w:tc>
      </w:tr>
      <w:tr w:rsidR="00CF6413" w:rsidRPr="00CF6413" w:rsidTr="00CF6413">
        <w:tc>
          <w:tcPr>
            <w:tcW w:w="10728" w:type="dxa"/>
            <w:gridSpan w:val="3"/>
            <w:tcBorders>
              <w:top w:val="single" w:sz="12" w:space="0" w:color="9BA3A9"/>
              <w:left w:val="single" w:sz="4" w:space="0" w:color="FFFFFF"/>
              <w:bottom w:val="single" w:sz="12" w:space="0" w:color="9BA3A9"/>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Misceláneas</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Cirrosis alcohólica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Antecedentes de consumo prolongado de alcohol</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veces ascitis, ictericia, hígado pequeño o agrandado, ginecomastia, contractura de </w:t>
            </w:r>
            <w:proofErr w:type="spellStart"/>
            <w:r w:rsidRPr="00CF6413">
              <w:rPr>
                <w:rFonts w:ascii="Times New Roman" w:eastAsia="Times New Roman" w:hAnsi="Times New Roman" w:cs="Times New Roman"/>
                <w:color w:val="000000" w:themeColor="text1"/>
                <w:sz w:val="24"/>
                <w:szCs w:val="24"/>
                <w:lang w:eastAsia="es-AR"/>
              </w:rPr>
              <w:t>Dupuytren</w:t>
            </w:r>
            <w:proofErr w:type="spellEnd"/>
            <w:r w:rsidRPr="00CF6413">
              <w:rPr>
                <w:rFonts w:ascii="Times New Roman" w:eastAsia="Times New Roman" w:hAnsi="Times New Roman" w:cs="Times New Roman"/>
                <w:color w:val="000000" w:themeColor="text1"/>
                <w:sz w:val="24"/>
                <w:szCs w:val="24"/>
                <w:lang w:eastAsia="es-AR"/>
              </w:rPr>
              <w:t>, atrofia testicular</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TP/TTP, fosfatasa alcalina, transaminasas, albúmina, bilirrubina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veces, ecografía y TC abdominal</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Trombosis venosa profunda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Dolor, hinchazón, a veces enrojecimiento de la pierna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Ecografía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veces, detección del dímero-</w:t>
            </w:r>
            <w:r w:rsidRPr="00CF6413">
              <w:rPr>
                <w:rFonts w:ascii="Times New Roman" w:eastAsia="Times New Roman" w:hAnsi="Times New Roman" w:cs="Times New Roman"/>
                <w:smallCaps/>
                <w:color w:val="000000" w:themeColor="text1"/>
                <w:sz w:val="24"/>
                <w:szCs w:val="24"/>
                <w:lang w:eastAsia="es-AR"/>
              </w:rPr>
              <w:t>d</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Fiebre por fármacos</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Fiebre que coincide con la administración de un fármaco (en general dentro de los 7–10 días)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veces, erupción</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Interrupción del fármaco</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Fiebre facticia</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Presentación dramática, atípica, detalles vagos y no coincidentes, conocimiento de la descripción de los libros de texto, costumbre de mentir habitual o compulsivamente (mitomanía)</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Diagnóstico de exclusión</w:t>
            </w:r>
          </w:p>
        </w:tc>
      </w:tr>
      <w:tr w:rsidR="00CF6413" w:rsidRPr="00CF6413" w:rsidTr="00CF6413">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Enfermedad inflamatoria intestinal</w:t>
            </w:r>
          </w:p>
        </w:tc>
        <w:tc>
          <w:tcPr>
            <w:tcW w:w="0" w:type="auto"/>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Dolor abdominal, diarrea (a veces con sangre), pérdida de peso, prueba positiva del guayacol en heces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 veces fístulas, ulceraciones perianales o bucales, </w:t>
            </w:r>
            <w:r w:rsidRPr="00CF6413">
              <w:rPr>
                <w:rFonts w:ascii="Times New Roman" w:eastAsia="Times New Roman" w:hAnsi="Times New Roman" w:cs="Times New Roman"/>
                <w:color w:val="000000" w:themeColor="text1"/>
                <w:sz w:val="24"/>
                <w:szCs w:val="24"/>
                <w:lang w:eastAsia="es-AR"/>
              </w:rPr>
              <w:lastRenderedPageBreak/>
              <w:t>artralgias</w:t>
            </w:r>
          </w:p>
        </w:tc>
        <w:tc>
          <w:tcPr>
            <w:tcW w:w="3291" w:type="dxa"/>
            <w:tcBorders>
              <w:left w:val="single" w:sz="4" w:space="0" w:color="FFFFFF"/>
            </w:tcBorders>
            <w:shd w:val="clear" w:color="auto" w:fill="F8F8F8"/>
            <w:tcMar>
              <w:top w:w="25" w:type="dxa"/>
              <w:left w:w="96" w:type="dxa"/>
              <w:bottom w:w="25" w:type="dxa"/>
              <w:right w:w="96" w:type="dxa"/>
            </w:tcMa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lastRenderedPageBreak/>
              <w:t xml:space="preserve">Endoscopia del tubo digestivo superior con seguimiento del intestino delgado, o </w:t>
            </w:r>
            <w:proofErr w:type="spellStart"/>
            <w:r w:rsidRPr="00CF6413">
              <w:rPr>
                <w:rFonts w:ascii="Times New Roman" w:eastAsia="Times New Roman" w:hAnsi="Times New Roman" w:cs="Times New Roman"/>
                <w:color w:val="000000" w:themeColor="text1"/>
                <w:sz w:val="24"/>
                <w:szCs w:val="24"/>
                <w:lang w:eastAsia="es-AR"/>
              </w:rPr>
              <w:t>enterografía</w:t>
            </w:r>
            <w:proofErr w:type="spellEnd"/>
            <w:r w:rsidRPr="00CF6413">
              <w:rPr>
                <w:rFonts w:ascii="Times New Roman" w:eastAsia="Times New Roman" w:hAnsi="Times New Roman" w:cs="Times New Roman"/>
                <w:color w:val="000000" w:themeColor="text1"/>
                <w:sz w:val="24"/>
                <w:szCs w:val="24"/>
                <w:lang w:eastAsia="es-AR"/>
              </w:rPr>
              <w:t xml:space="preserve"> por TC </w:t>
            </w:r>
            <w:r w:rsidRPr="00CF6413">
              <w:rPr>
                <w:rFonts w:ascii="Times New Roman" w:eastAsia="Times New Roman" w:hAnsi="Times New Roman" w:cs="Times New Roman"/>
                <w:color w:val="000000" w:themeColor="text1"/>
                <w:sz w:val="24"/>
                <w:szCs w:val="24"/>
                <w:lang w:eastAsia="es-AR"/>
              </w:rPr>
              <w:lastRenderedPageBreak/>
              <w:t xml:space="preserve">(enfermedad de </w:t>
            </w:r>
            <w:proofErr w:type="spellStart"/>
            <w:r w:rsidRPr="00CF6413">
              <w:rPr>
                <w:rFonts w:ascii="Times New Roman" w:eastAsia="Times New Roman" w:hAnsi="Times New Roman" w:cs="Times New Roman"/>
                <w:color w:val="000000" w:themeColor="text1"/>
                <w:sz w:val="24"/>
                <w:szCs w:val="24"/>
                <w:lang w:eastAsia="es-AR"/>
              </w:rPr>
              <w:t>Crohn</w:t>
            </w:r>
            <w:proofErr w:type="spellEnd"/>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Colonoscopia (colitis ulcerante o colitis de </w:t>
            </w:r>
            <w:proofErr w:type="spellStart"/>
            <w:r w:rsidRPr="00CF6413">
              <w:rPr>
                <w:rFonts w:ascii="Times New Roman" w:eastAsia="Times New Roman" w:hAnsi="Times New Roman" w:cs="Times New Roman"/>
                <w:color w:val="000000" w:themeColor="text1"/>
                <w:sz w:val="24"/>
                <w:szCs w:val="24"/>
                <w:lang w:eastAsia="es-AR"/>
              </w:rPr>
              <w:t>Crohn</w:t>
            </w:r>
            <w:proofErr w:type="spellEnd"/>
            <w:r w:rsidRPr="00CF6413">
              <w:rPr>
                <w:rFonts w:ascii="Times New Roman" w:eastAsia="Times New Roman" w:hAnsi="Times New Roman" w:cs="Times New Roman"/>
                <w:color w:val="000000" w:themeColor="text1"/>
                <w:sz w:val="24"/>
                <w:szCs w:val="24"/>
                <w:lang w:eastAsia="es-AR"/>
              </w:rPr>
              <w:t>)</w:t>
            </w:r>
          </w:p>
        </w:tc>
      </w:tr>
      <w:tr w:rsidR="00CF6413" w:rsidRPr="00CF6413" w:rsidTr="00CF6413">
        <w:tc>
          <w:tcPr>
            <w:tcW w:w="10728" w:type="dxa"/>
            <w:gridSpan w:val="3"/>
            <w:shd w:val="clear" w:color="auto" w:fill="F8F8F8"/>
            <w:tcMar>
              <w:top w:w="144" w:type="dxa"/>
              <w:left w:w="144" w:type="dxa"/>
              <w:bottom w:w="144" w:type="dxa"/>
              <w:right w:w="144" w:type="dxa"/>
            </w:tcMar>
            <w:vAlign w:val="cente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lastRenderedPageBreak/>
              <w:t>*Los pacientes con fiebre de origen desconocido pueden no presentar manifestaciones típicas, pero éstas deben buscarse.</w:t>
            </w:r>
          </w:p>
        </w:tc>
      </w:tr>
      <w:tr w:rsidR="00CF6413" w:rsidRPr="00CF6413" w:rsidTr="00CF6413">
        <w:tc>
          <w:tcPr>
            <w:tcW w:w="10728" w:type="dxa"/>
            <w:gridSpan w:val="3"/>
            <w:shd w:val="clear" w:color="auto" w:fill="F8F8F8"/>
            <w:tcMar>
              <w:top w:w="144" w:type="dxa"/>
              <w:left w:w="144" w:type="dxa"/>
              <w:bottom w:w="144" w:type="dxa"/>
              <w:right w:w="144" w:type="dxa"/>
            </w:tcMar>
            <w:vAlign w:val="center"/>
            <w:hideMark/>
          </w:tcPr>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ANA = anticuerpos antinucleares; ANCA = anticuerpo </w:t>
            </w:r>
            <w:proofErr w:type="spellStart"/>
            <w:r w:rsidRPr="00CF6413">
              <w:rPr>
                <w:rFonts w:ascii="Times New Roman" w:eastAsia="Times New Roman" w:hAnsi="Times New Roman" w:cs="Times New Roman"/>
                <w:color w:val="000000" w:themeColor="text1"/>
                <w:sz w:val="24"/>
                <w:szCs w:val="24"/>
                <w:lang w:eastAsia="es-AR"/>
              </w:rPr>
              <w:t>anticitoplasma</w:t>
            </w:r>
            <w:proofErr w:type="spellEnd"/>
            <w:r w:rsidRPr="00CF6413">
              <w:rPr>
                <w:rFonts w:ascii="Times New Roman" w:eastAsia="Times New Roman" w:hAnsi="Times New Roman" w:cs="Times New Roman"/>
                <w:color w:val="000000" w:themeColor="text1"/>
                <w:sz w:val="24"/>
                <w:szCs w:val="24"/>
                <w:lang w:eastAsia="es-AR"/>
              </w:rPr>
              <w:t xml:space="preserve"> de </w:t>
            </w:r>
            <w:proofErr w:type="spellStart"/>
            <w:r w:rsidRPr="00CF6413">
              <w:rPr>
                <w:rFonts w:ascii="Times New Roman" w:eastAsia="Times New Roman" w:hAnsi="Times New Roman" w:cs="Times New Roman"/>
                <w:color w:val="000000" w:themeColor="text1"/>
                <w:sz w:val="24"/>
                <w:szCs w:val="24"/>
                <w:lang w:eastAsia="es-AR"/>
              </w:rPr>
              <w:t>neutrófilos</w:t>
            </w:r>
            <w:proofErr w:type="spellEnd"/>
            <w:r w:rsidRPr="00CF6413">
              <w:rPr>
                <w:rFonts w:ascii="Times New Roman" w:eastAsia="Times New Roman" w:hAnsi="Times New Roman" w:cs="Times New Roman"/>
                <w:color w:val="000000" w:themeColor="text1"/>
                <w:sz w:val="24"/>
                <w:szCs w:val="24"/>
                <w:lang w:eastAsia="es-AR"/>
              </w:rPr>
              <w:t>; CMV = </w:t>
            </w:r>
            <w:proofErr w:type="spellStart"/>
            <w:r w:rsidRPr="00CF6413">
              <w:rPr>
                <w:rFonts w:ascii="Times New Roman" w:eastAsia="Times New Roman" w:hAnsi="Times New Roman" w:cs="Times New Roman"/>
                <w:color w:val="000000" w:themeColor="text1"/>
                <w:sz w:val="24"/>
                <w:szCs w:val="24"/>
                <w:lang w:eastAsia="es-AR"/>
              </w:rPr>
              <w:t>citomegalovirus</w:t>
            </w:r>
            <w:proofErr w:type="spellEnd"/>
            <w:r w:rsidRPr="00CF6413">
              <w:rPr>
                <w:rFonts w:ascii="Times New Roman" w:eastAsia="Times New Roman" w:hAnsi="Times New Roman" w:cs="Times New Roman"/>
                <w:color w:val="000000" w:themeColor="text1"/>
                <w:sz w:val="24"/>
                <w:szCs w:val="24"/>
                <w:lang w:eastAsia="es-AR"/>
              </w:rPr>
              <w:t>; EBV = virus de Epstein-</w:t>
            </w:r>
            <w:proofErr w:type="spellStart"/>
            <w:r w:rsidRPr="00CF6413">
              <w:rPr>
                <w:rFonts w:ascii="Times New Roman" w:eastAsia="Times New Roman" w:hAnsi="Times New Roman" w:cs="Times New Roman"/>
                <w:color w:val="000000" w:themeColor="text1"/>
                <w:sz w:val="24"/>
                <w:szCs w:val="24"/>
                <w:lang w:eastAsia="es-AR"/>
              </w:rPr>
              <w:t>Barr</w:t>
            </w:r>
            <w:proofErr w:type="spellEnd"/>
            <w:r w:rsidRPr="00CF6413">
              <w:rPr>
                <w:rFonts w:ascii="Times New Roman" w:eastAsia="Times New Roman" w:hAnsi="Times New Roman" w:cs="Times New Roman"/>
                <w:color w:val="000000" w:themeColor="text1"/>
                <w:sz w:val="24"/>
                <w:szCs w:val="24"/>
                <w:lang w:eastAsia="es-AR"/>
              </w:rPr>
              <w:t xml:space="preserve">; ELISA = ensayo por </w:t>
            </w:r>
            <w:proofErr w:type="spellStart"/>
            <w:r w:rsidRPr="00CF6413">
              <w:rPr>
                <w:rFonts w:ascii="Times New Roman" w:eastAsia="Times New Roman" w:hAnsi="Times New Roman" w:cs="Times New Roman"/>
                <w:color w:val="000000" w:themeColor="text1"/>
                <w:sz w:val="24"/>
                <w:szCs w:val="24"/>
                <w:lang w:eastAsia="es-AR"/>
              </w:rPr>
              <w:t>inmunoabsorción</w:t>
            </w:r>
            <w:proofErr w:type="spellEnd"/>
            <w:r w:rsidRPr="00CF6413">
              <w:rPr>
                <w:rFonts w:ascii="Times New Roman" w:eastAsia="Times New Roman" w:hAnsi="Times New Roman" w:cs="Times New Roman"/>
                <w:color w:val="000000" w:themeColor="text1"/>
                <w:sz w:val="24"/>
                <w:szCs w:val="24"/>
                <w:lang w:eastAsia="es-AR"/>
              </w:rPr>
              <w:t xml:space="preserve"> ligado a enzimas; RF = factor </w:t>
            </w:r>
            <w:proofErr w:type="spellStart"/>
            <w:r w:rsidRPr="00CF6413">
              <w:rPr>
                <w:rFonts w:ascii="Times New Roman" w:eastAsia="Times New Roman" w:hAnsi="Times New Roman" w:cs="Times New Roman"/>
                <w:color w:val="000000" w:themeColor="text1"/>
                <w:sz w:val="24"/>
                <w:szCs w:val="24"/>
                <w:lang w:eastAsia="es-AR"/>
              </w:rPr>
              <w:t>reumatoideo</w:t>
            </w:r>
            <w:proofErr w:type="spellEnd"/>
            <w:r w:rsidRPr="00CF6413">
              <w:rPr>
                <w:rFonts w:ascii="Times New Roman" w:eastAsia="Times New Roman" w:hAnsi="Times New Roman" w:cs="Times New Roman"/>
                <w:color w:val="000000" w:themeColor="text1"/>
                <w:sz w:val="24"/>
                <w:szCs w:val="24"/>
                <w:lang w:eastAsia="es-AR"/>
              </w:rPr>
              <w:t>.</w:t>
            </w:r>
          </w:p>
        </w:tc>
      </w:tr>
    </w:tbl>
    <w:p w:rsidR="00CF6413" w:rsidRPr="00CF6413" w:rsidRDefault="00CF6413" w:rsidP="00CF6413">
      <w:pPr>
        <w:spacing w:after="63" w:line="240" w:lineRule="auto"/>
        <w:outlineLvl w:val="1"/>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Evaluación</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 los casos más desconcertantes, como en la fiebre de origen desconocido, generalmente es un error considerar que ya se ha obtenido toda la información posible, o que ésta fue registrada con precisión por otros médicos. Los profesionales deben tener en cuenta lo que el paciente ya ha informado antes (para resolver discrepancias), pero no deben ser simples copias de los detalles de las anamnesis anteriores (antecedentes familiares, antecedentes sociales). Los errores iniciales por omisión pueden ser perpetuados por los médicos durante varios días de internación, lo que lleva a realizar muchas pruebas innecesarias. Aún cuando la evaluación inicial haya sido exhaustiva, los pacientes suelen recordar nuevos detalles cuando se les repiten las preguntas.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Por otra parte, los médicos no deben ignorar los resultados de las pruebas anteriores, y no deben repetirlas sin tener en cuenta la probabilidad de que los resultados pueden ser diferentes (p. ej., porque el estado del paciente cambió, porque la enfermedad evoluciona lentamente).</w:t>
      </w:r>
    </w:p>
    <w:p w:rsidR="00CF6413" w:rsidRPr="00CF6413" w:rsidRDefault="00CF6413" w:rsidP="00CF6413">
      <w:pPr>
        <w:spacing w:before="100" w:beforeAutospacing="1" w:after="63" w:line="240" w:lineRule="auto"/>
        <w:outlineLvl w:val="2"/>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Anamnesis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 anamnesis tiene por objetivo descubrir síntomas y hechos que indiquen la causa (p. ej., viajes, ocupación, antecedentes familiares, exposición a vectores animales, antecedentes dietarios).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Antecedentes de la enfermedad actual:</w:t>
      </w:r>
      <w:r w:rsidRPr="00CF6413">
        <w:rPr>
          <w:rFonts w:ascii="Times New Roman" w:eastAsia="Times New Roman" w:hAnsi="Times New Roman" w:cs="Times New Roman"/>
          <w:color w:val="000000" w:themeColor="text1"/>
          <w:sz w:val="24"/>
          <w:szCs w:val="24"/>
          <w:lang w:eastAsia="es-AR"/>
        </w:rPr>
        <w:t> deben incluir la duración y el esquema de la fiebre (si es intermitente o constante). Los patrones de la fiebre suelen tener poca importancia o ninguna en el diagnóstico de la fiebre de origen desconocido, aunque una fiebre que aparece día por medio (terciana) o cada 3 días (cuartana) puede indicar que se trata de paludismo en un paciente con factores de riesgo. A menudo, el dolor focal indica la ubicación (aunque no la causa) del trastorno de base. Los médicos deben preguntar en general, y después específicamente, sobre el malestar en cada parte del cuerpo.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Revisión de aparatos y sistemas:</w:t>
      </w:r>
      <w:r w:rsidRPr="00CF6413">
        <w:rPr>
          <w:rFonts w:ascii="Times New Roman" w:eastAsia="Times New Roman" w:hAnsi="Times New Roman" w:cs="Times New Roman"/>
          <w:color w:val="000000" w:themeColor="text1"/>
          <w:sz w:val="24"/>
          <w:szCs w:val="24"/>
          <w:lang w:eastAsia="es-AR"/>
        </w:rPr>
        <w:t> debe incluir los síntomas no específicos, como pérdida de peso, anorexia, cansancio, sudoración nocturna y cefaleas. También deben registrarse los síntomas de los trastornos del tejido conectivo (mialgias, artralgias, erupciones) y del tubo digestivo (diarrea, esteatorrea, malestar abdominal).</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Antecedentes personales:</w:t>
      </w:r>
      <w:r w:rsidRPr="00CF6413">
        <w:rPr>
          <w:rFonts w:ascii="Times New Roman" w:eastAsia="Times New Roman" w:hAnsi="Times New Roman" w:cs="Times New Roman"/>
          <w:color w:val="000000" w:themeColor="text1"/>
          <w:sz w:val="24"/>
          <w:szCs w:val="24"/>
          <w:lang w:eastAsia="es-AR"/>
        </w:rPr>
        <w:t xml:space="preserve"> deben incluir trastornos que se sabe causan fiebre, como el cáncer, la tuberculosis, los trastornos del tejido conectivo, la cirrosis alcohólica, la enfermedad intestinal inflamatoria, la fiebre reumática y el hipertiroidismo. El profesional debe registrar trastornos o factores que predispongan a las infecciones, como el </w:t>
      </w:r>
      <w:proofErr w:type="spellStart"/>
      <w:r w:rsidRPr="00CF6413">
        <w:rPr>
          <w:rFonts w:ascii="Times New Roman" w:eastAsia="Times New Roman" w:hAnsi="Times New Roman" w:cs="Times New Roman"/>
          <w:color w:val="000000" w:themeColor="text1"/>
          <w:sz w:val="24"/>
          <w:szCs w:val="24"/>
          <w:lang w:eastAsia="es-AR"/>
        </w:rPr>
        <w:t>inmunocompromiso</w:t>
      </w:r>
      <w:proofErr w:type="spellEnd"/>
      <w:r w:rsidRPr="00CF6413">
        <w:rPr>
          <w:rFonts w:ascii="Times New Roman" w:eastAsia="Times New Roman" w:hAnsi="Times New Roman" w:cs="Times New Roman"/>
          <w:color w:val="000000" w:themeColor="text1"/>
          <w:sz w:val="24"/>
          <w:szCs w:val="24"/>
          <w:lang w:eastAsia="es-AR"/>
        </w:rPr>
        <w:t xml:space="preserve"> (debido a enfermedades como la infección por HIV, el cáncer, la diabetes o el uso de inmunosupresores), los trastornos estructurales del corazón, las anomalías de tracto urinario, las cirugías y la colocación de dispositivos (vías intravenosas, marcapasos, prótesis articulares).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Los </w:t>
      </w:r>
      <w:r w:rsidRPr="00CF6413">
        <w:rPr>
          <w:rFonts w:ascii="Times New Roman" w:eastAsia="Times New Roman" w:hAnsi="Times New Roman" w:cs="Times New Roman"/>
          <w:b/>
          <w:bCs/>
          <w:color w:val="000000" w:themeColor="text1"/>
          <w:sz w:val="24"/>
          <w:szCs w:val="24"/>
          <w:lang w:eastAsia="es-AR"/>
        </w:rPr>
        <w:t>antecedentes de uso de fármacos</w:t>
      </w:r>
      <w:r w:rsidRPr="00CF6413">
        <w:rPr>
          <w:rFonts w:ascii="Times New Roman" w:eastAsia="Times New Roman" w:hAnsi="Times New Roman" w:cs="Times New Roman"/>
          <w:color w:val="000000" w:themeColor="text1"/>
          <w:sz w:val="24"/>
          <w:szCs w:val="24"/>
          <w:lang w:eastAsia="es-AR"/>
        </w:rPr>
        <w:t> deben incluir información sobre medicamentos específicos que se sabe causan fiebre.</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lastRenderedPageBreak/>
        <w:t>Las preguntas sobre los </w:t>
      </w:r>
      <w:r w:rsidRPr="00CF6413">
        <w:rPr>
          <w:rFonts w:ascii="Times New Roman" w:eastAsia="Times New Roman" w:hAnsi="Times New Roman" w:cs="Times New Roman"/>
          <w:b/>
          <w:bCs/>
          <w:color w:val="000000" w:themeColor="text1"/>
          <w:sz w:val="24"/>
          <w:szCs w:val="24"/>
          <w:lang w:eastAsia="es-AR"/>
        </w:rPr>
        <w:t>antecedentes sociales </w:t>
      </w:r>
      <w:r w:rsidRPr="00CF6413">
        <w:rPr>
          <w:rFonts w:ascii="Times New Roman" w:eastAsia="Times New Roman" w:hAnsi="Times New Roman" w:cs="Times New Roman"/>
          <w:color w:val="000000" w:themeColor="text1"/>
          <w:sz w:val="24"/>
          <w:szCs w:val="24"/>
          <w:lang w:eastAsia="es-AR"/>
        </w:rPr>
        <w:t>deben incluir factores de riesgo para las infecciones como uso de drogas inyectables, prácticas sexuales de alto riesgo (relaciones sin protección, parejas múltiples), contactos infectados (p. ej., por tuberculosis), viajes y la posible exposición a animales o insectos vectores de enfermedades. Deben identificarse también los factores de riesgo para el cáncer, como el tabaquismo, el abuso del alcohol y la exposición laboral a sustancias químicas.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Los </w:t>
      </w:r>
      <w:r w:rsidRPr="00CF6413">
        <w:rPr>
          <w:rFonts w:ascii="Times New Roman" w:eastAsia="Times New Roman" w:hAnsi="Times New Roman" w:cs="Times New Roman"/>
          <w:b/>
          <w:bCs/>
          <w:color w:val="000000" w:themeColor="text1"/>
          <w:sz w:val="24"/>
          <w:szCs w:val="24"/>
          <w:lang w:eastAsia="es-AR"/>
        </w:rPr>
        <w:t>antecedentes familiares</w:t>
      </w:r>
      <w:r w:rsidRPr="00CF6413">
        <w:rPr>
          <w:rFonts w:ascii="Times New Roman" w:eastAsia="Times New Roman" w:hAnsi="Times New Roman" w:cs="Times New Roman"/>
          <w:color w:val="000000" w:themeColor="text1"/>
          <w:sz w:val="24"/>
          <w:szCs w:val="24"/>
          <w:lang w:eastAsia="es-AR"/>
        </w:rPr>
        <w:t> deben incluir información sobre las causas hereditarias de la fiebre (p. ej., la fiebre familiar del Mediterráneo).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Los registros médicos anteriores deben analizarse en busca de resultados previos en las pruebas, especialmente en aquellas que descartan con certeza determinados trastornos.</w:t>
      </w:r>
    </w:p>
    <w:p w:rsidR="00CF6413" w:rsidRPr="00CF6413" w:rsidRDefault="00CF6413" w:rsidP="00CF6413">
      <w:pPr>
        <w:spacing w:before="100" w:beforeAutospacing="1" w:after="63" w:line="240" w:lineRule="auto"/>
        <w:outlineLvl w:val="2"/>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Examen físico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Debe registrarse la apariencia general, especialmente la presencia de caquexia, ictericia y palidez.</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La piel debe inspeccionarse con cuidado para detectar eritemas locales (que indican un sitio de infección) y erupciones (p. ej., erupción malar en el LES); la inspección debe incluir el periné y los pies, especialmente en los diabéticos, que son susceptibles a las infecciones en estas zonas. El médico también debe buscar signos cutáneos de endocarditis, como nódulos subcutáneos eritematosos dolorosos en las puntas de los dedos (nódulos de </w:t>
      </w:r>
      <w:proofErr w:type="spellStart"/>
      <w:r w:rsidRPr="00CF6413">
        <w:rPr>
          <w:rFonts w:ascii="Times New Roman" w:eastAsia="Times New Roman" w:hAnsi="Times New Roman" w:cs="Times New Roman"/>
          <w:color w:val="000000" w:themeColor="text1"/>
          <w:sz w:val="24"/>
          <w:szCs w:val="24"/>
          <w:lang w:eastAsia="es-AR"/>
        </w:rPr>
        <w:t>Osler</w:t>
      </w:r>
      <w:proofErr w:type="spellEnd"/>
      <w:r w:rsidRPr="00CF6413">
        <w:rPr>
          <w:rFonts w:ascii="Times New Roman" w:eastAsia="Times New Roman" w:hAnsi="Times New Roman" w:cs="Times New Roman"/>
          <w:color w:val="000000" w:themeColor="text1"/>
          <w:sz w:val="24"/>
          <w:szCs w:val="24"/>
          <w:lang w:eastAsia="es-AR"/>
        </w:rPr>
        <w:t xml:space="preserve">), máculas hemorrágicas no sensibles en las palmas o las plantas (lesiones de </w:t>
      </w:r>
      <w:proofErr w:type="spellStart"/>
      <w:r w:rsidRPr="00CF6413">
        <w:rPr>
          <w:rFonts w:ascii="Times New Roman" w:eastAsia="Times New Roman" w:hAnsi="Times New Roman" w:cs="Times New Roman"/>
          <w:color w:val="000000" w:themeColor="text1"/>
          <w:sz w:val="24"/>
          <w:szCs w:val="24"/>
          <w:lang w:eastAsia="es-AR"/>
        </w:rPr>
        <w:t>Janeway</w:t>
      </w:r>
      <w:proofErr w:type="spellEnd"/>
      <w:r w:rsidRPr="00CF6413">
        <w:rPr>
          <w:rFonts w:ascii="Times New Roman" w:eastAsia="Times New Roman" w:hAnsi="Times New Roman" w:cs="Times New Roman"/>
          <w:color w:val="000000" w:themeColor="text1"/>
          <w:sz w:val="24"/>
          <w:szCs w:val="24"/>
          <w:lang w:eastAsia="es-AR"/>
        </w:rPr>
        <w:t>), petequias y hemorragias en astilla bajo las uñas.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Todo el cuerpo (en especial la columna, los huesos, las articulaciones, el abdomen y </w:t>
      </w:r>
      <w:proofErr w:type="gramStart"/>
      <w:r w:rsidRPr="00CF6413">
        <w:rPr>
          <w:rFonts w:ascii="Times New Roman" w:eastAsia="Times New Roman" w:hAnsi="Times New Roman" w:cs="Times New Roman"/>
          <w:color w:val="000000" w:themeColor="text1"/>
          <w:sz w:val="24"/>
          <w:szCs w:val="24"/>
          <w:lang w:eastAsia="es-AR"/>
        </w:rPr>
        <w:t>las</w:t>
      </w:r>
      <w:proofErr w:type="gramEnd"/>
      <w:r w:rsidRPr="00CF6413">
        <w:rPr>
          <w:rFonts w:ascii="Times New Roman" w:eastAsia="Times New Roman" w:hAnsi="Times New Roman" w:cs="Times New Roman"/>
          <w:color w:val="000000" w:themeColor="text1"/>
          <w:sz w:val="24"/>
          <w:szCs w:val="24"/>
          <w:lang w:eastAsia="es-AR"/>
        </w:rPr>
        <w:t xml:space="preserve"> tiroides) debe palparse para buscar zonas de aumento de la sensibilidad, hinchazones u </w:t>
      </w:r>
      <w:proofErr w:type="spellStart"/>
      <w:r w:rsidRPr="00CF6413">
        <w:rPr>
          <w:rFonts w:ascii="Times New Roman" w:eastAsia="Times New Roman" w:hAnsi="Times New Roman" w:cs="Times New Roman"/>
          <w:color w:val="000000" w:themeColor="text1"/>
          <w:sz w:val="24"/>
          <w:szCs w:val="24"/>
          <w:lang w:eastAsia="es-AR"/>
        </w:rPr>
        <w:t>organomegalias</w:t>
      </w:r>
      <w:proofErr w:type="spellEnd"/>
      <w:r w:rsidRPr="00CF6413">
        <w:rPr>
          <w:rFonts w:ascii="Times New Roman" w:eastAsia="Times New Roman" w:hAnsi="Times New Roman" w:cs="Times New Roman"/>
          <w:color w:val="000000" w:themeColor="text1"/>
          <w:sz w:val="24"/>
          <w:szCs w:val="24"/>
          <w:lang w:eastAsia="es-AR"/>
        </w:rPr>
        <w:t xml:space="preserve">; se incluyen un tacto rectal y uno pelviano. La percusión de los dientes permite detectar dolor (que indica un absceso apical). Durante la palpación, debe notarse cualquier adenopatía regional o sistémica; por ejemplo las adenopatías regionales son características de la </w:t>
      </w:r>
      <w:proofErr w:type="spellStart"/>
      <w:r w:rsidRPr="00CF6413">
        <w:rPr>
          <w:rFonts w:ascii="Times New Roman" w:eastAsia="Times New Roman" w:hAnsi="Times New Roman" w:cs="Times New Roman"/>
          <w:color w:val="000000" w:themeColor="text1"/>
          <w:sz w:val="24"/>
          <w:szCs w:val="24"/>
          <w:lang w:eastAsia="es-AR"/>
        </w:rPr>
        <w:t>linfadenitis</w:t>
      </w:r>
      <w:proofErr w:type="spellEnd"/>
      <w:r w:rsidRPr="00CF6413">
        <w:rPr>
          <w:rFonts w:ascii="Times New Roman" w:eastAsia="Times New Roman" w:hAnsi="Times New Roman" w:cs="Times New Roman"/>
          <w:color w:val="000000" w:themeColor="text1"/>
          <w:sz w:val="24"/>
          <w:szCs w:val="24"/>
          <w:lang w:eastAsia="es-AR"/>
        </w:rPr>
        <w:t xml:space="preserve"> regional, en contraste con las adenopatías difusas de un linfoma.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El corazón se ausculta en busca de soplos (que indican endocarditis bacteriana) y frotes (que indican pericarditis debida a un trastorno reumático o infeccioso).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 veces, las anomalías físicas clave de los pacientes con fiebre de origen desconocido son tan leves o sutiles que hacen necesario el examen físico repetido para detectar una causa (p. ej., con la detección de una adenopatía nueva, un soplo cardíaco, una erupción o un nódulo con una leve pulsación en la arteria temporal).</w:t>
      </w:r>
    </w:p>
    <w:p w:rsidR="00CF6413" w:rsidRPr="00CF6413" w:rsidRDefault="00CF6413" w:rsidP="00CF6413">
      <w:pPr>
        <w:spacing w:before="100" w:beforeAutospacing="1" w:after="63" w:line="240" w:lineRule="auto"/>
        <w:outlineLvl w:val="2"/>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Signos de alarma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Los siguientes signos son de especial interés:</w:t>
      </w:r>
    </w:p>
    <w:p w:rsidR="00CF6413" w:rsidRPr="00CF6413" w:rsidRDefault="00CF6413" w:rsidP="00CF6413">
      <w:pPr>
        <w:numPr>
          <w:ilvl w:val="0"/>
          <w:numId w:val="4"/>
        </w:num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Inmunocompromiso</w:t>
      </w:r>
      <w:proofErr w:type="spellEnd"/>
    </w:p>
    <w:p w:rsidR="00CF6413" w:rsidRPr="00CF6413" w:rsidRDefault="00CF6413" w:rsidP="00CF6413">
      <w:pPr>
        <w:numPr>
          <w:ilvl w:val="0"/>
          <w:numId w:val="4"/>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Soplo cardíaco</w:t>
      </w:r>
    </w:p>
    <w:p w:rsidR="00CF6413" w:rsidRPr="00CF6413" w:rsidRDefault="00CF6413" w:rsidP="00CF6413">
      <w:pPr>
        <w:numPr>
          <w:ilvl w:val="0"/>
          <w:numId w:val="4"/>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Presencia de dispositivos (vías venosas, marcapasos, prótesis articulares)</w:t>
      </w:r>
    </w:p>
    <w:p w:rsidR="00CF6413" w:rsidRPr="00CF6413" w:rsidRDefault="00CF6413" w:rsidP="00CF6413">
      <w:pPr>
        <w:numPr>
          <w:ilvl w:val="0"/>
          <w:numId w:val="4"/>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Viajes recientes a zonas endémicas</w:t>
      </w:r>
    </w:p>
    <w:p w:rsidR="00CF6413" w:rsidRPr="00CF6413" w:rsidRDefault="00CF6413" w:rsidP="00CF6413">
      <w:pPr>
        <w:spacing w:before="100" w:beforeAutospacing="1" w:after="63" w:line="240" w:lineRule="auto"/>
        <w:outlineLvl w:val="2"/>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Interpretación de los hallazgos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Después de una anamnesis y un examen físico exhaustivos, son típicos los siguientes escenarios:</w:t>
      </w:r>
    </w:p>
    <w:p w:rsidR="00CF6413" w:rsidRPr="00CF6413" w:rsidRDefault="00CF6413" w:rsidP="00CF6413">
      <w:pPr>
        <w:numPr>
          <w:ilvl w:val="0"/>
          <w:numId w:val="5"/>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Se descubren nuevos signos y síntomas que indican localización y que no estaban presentes o no fueron detectados o tratados en las exploraciones anteriores. Estos hallazgos se interpretan e investigan como se indica (ver </w:t>
      </w:r>
      <w:hyperlink r:id="rId6" w:anchor="v997565_es" w:history="1">
        <w:r w:rsidRPr="00CF6413">
          <w:rPr>
            <w:rFonts w:ascii="Times New Roman" w:eastAsia="Times New Roman" w:hAnsi="Times New Roman" w:cs="Times New Roman"/>
            <w:color w:val="000000" w:themeColor="text1"/>
            <w:sz w:val="24"/>
            <w:szCs w:val="24"/>
            <w:u w:val="single"/>
            <w:lang w:eastAsia="es-AR"/>
          </w:rPr>
          <w:t>Algunas causas de fiebre de origen desconocido</w:t>
        </w:r>
      </w:hyperlink>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numPr>
          <w:ilvl w:val="0"/>
          <w:numId w:val="5"/>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Con mayor frecuencia, la evaluación detecta sólo hallazgos inespecíficos que aparecen en varias causas de fiebre de origen desconocido, pero a la vez identifica factores de riesgo que ayudan a dirigir las pruebas posteriores (viajes a zonas endémicas, exposición a vectores animales). A veces, </w:t>
      </w:r>
      <w:r w:rsidRPr="00CF6413">
        <w:rPr>
          <w:rFonts w:ascii="Times New Roman" w:eastAsia="Times New Roman" w:hAnsi="Times New Roman" w:cs="Times New Roman"/>
          <w:color w:val="000000" w:themeColor="text1"/>
          <w:sz w:val="24"/>
          <w:szCs w:val="24"/>
          <w:lang w:eastAsia="es-AR"/>
        </w:rPr>
        <w:lastRenderedPageBreak/>
        <w:t>los factores de riesgo son menos específicos pero pueden sugerir una clase de enfermedad; por ejemplo la pérdida de peso sin anorexia coincide más con una infección que con un cáncer, el cual por lo general produce anorexia. Las causas posibles deben investigarse.</w:t>
      </w:r>
    </w:p>
    <w:p w:rsidR="00CF6413" w:rsidRPr="00CF6413" w:rsidRDefault="00CF6413" w:rsidP="00CF6413">
      <w:pPr>
        <w:numPr>
          <w:ilvl w:val="0"/>
          <w:numId w:val="5"/>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 el escenario más complicado, los pacientes tienen sólo hallazgos inespecíficos y ningún o múltiples factores de riesgo, lo que hace necesario un abordaje lógico y secuencial de los estudios. Las pruebas iniciales se usan para limitar las posibilidades diagnósticas y decidir las pruebas siguientes.</w:t>
      </w:r>
    </w:p>
    <w:p w:rsidR="00CF6413" w:rsidRPr="00CF6413" w:rsidRDefault="00CF6413" w:rsidP="00CF6413">
      <w:pPr>
        <w:spacing w:before="100" w:beforeAutospacing="1" w:after="63" w:line="240" w:lineRule="auto"/>
        <w:outlineLvl w:val="2"/>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Estudios complementarios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Deben revisarse los resultados de las pruebas anteriores, especialmente de los cultivos. Los cultivos de algunos microorganismos pueden requerir más tiempo para mostrar un resultado positivo.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De ser posible, la información clínica se usa para dirigir los estudios (ver </w:t>
      </w:r>
      <w:hyperlink r:id="rId7" w:anchor="v997565_es" w:history="1">
        <w:r w:rsidRPr="00CF6413">
          <w:rPr>
            <w:rFonts w:ascii="Times New Roman" w:eastAsia="Times New Roman" w:hAnsi="Times New Roman" w:cs="Times New Roman"/>
            <w:color w:val="000000" w:themeColor="text1"/>
            <w:sz w:val="24"/>
            <w:szCs w:val="24"/>
            <w:u w:val="single"/>
            <w:lang w:eastAsia="es-AR"/>
          </w:rPr>
          <w:t>Algunas causas de fiebre de origen desconocido</w:t>
        </w:r>
      </w:hyperlink>
      <w:r w:rsidRPr="00CF6413">
        <w:rPr>
          <w:rFonts w:ascii="Times New Roman" w:eastAsia="Times New Roman" w:hAnsi="Times New Roman" w:cs="Times New Roman"/>
          <w:color w:val="000000" w:themeColor="text1"/>
          <w:sz w:val="24"/>
          <w:szCs w:val="24"/>
          <w:lang w:eastAsia="es-AR"/>
        </w:rPr>
        <w:t>). Por ejemplo, un paciente anciano que permanece siempre en su casa y presenta cefalea no debe ser sometido a pruebas para infecciones transmitidas por garrapatas o para paludismo, pero estas enfermedades deben considerarse en pacientes más jóvenes que han hecho excursiones al aire libre en zonas endémicas. Los pacientes de edad avanzada se someten a pruebas para la arteritis de células gigantes; no así los pacientes jóvenes.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Además de las pruebas específicas, por lo general se realizan los siguientes estudios:</w:t>
      </w:r>
    </w:p>
    <w:p w:rsidR="00CF6413" w:rsidRPr="00CF6413" w:rsidRDefault="00CF6413" w:rsidP="00CF6413">
      <w:pPr>
        <w:numPr>
          <w:ilvl w:val="0"/>
          <w:numId w:val="6"/>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Hemograma completo con fórmula leucocitaria</w:t>
      </w:r>
    </w:p>
    <w:p w:rsidR="00CF6413" w:rsidRPr="00CF6413" w:rsidRDefault="00CF6413" w:rsidP="00CF6413">
      <w:pPr>
        <w:numPr>
          <w:ilvl w:val="0"/>
          <w:numId w:val="6"/>
        </w:num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Eritrosedimentación</w:t>
      </w:r>
      <w:proofErr w:type="spellEnd"/>
    </w:p>
    <w:p w:rsidR="00CF6413" w:rsidRPr="00CF6413" w:rsidRDefault="00CF6413" w:rsidP="00CF6413">
      <w:pPr>
        <w:numPr>
          <w:ilvl w:val="0"/>
          <w:numId w:val="6"/>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Pruebas de la función hepática</w:t>
      </w:r>
    </w:p>
    <w:p w:rsidR="00CF6413" w:rsidRPr="00CF6413" w:rsidRDefault="00CF6413" w:rsidP="00CF6413">
      <w:pPr>
        <w:numPr>
          <w:ilvl w:val="0"/>
          <w:numId w:val="6"/>
        </w:numPr>
        <w:spacing w:after="100" w:afterAutospacing="1" w:line="240" w:lineRule="auto"/>
        <w:rPr>
          <w:rFonts w:ascii="Times New Roman" w:eastAsia="Times New Roman" w:hAnsi="Times New Roman" w:cs="Times New Roman"/>
          <w:color w:val="000000" w:themeColor="text1"/>
          <w:sz w:val="24"/>
          <w:szCs w:val="24"/>
          <w:lang w:eastAsia="es-AR"/>
        </w:rPr>
      </w:pPr>
      <w:proofErr w:type="spellStart"/>
      <w:r w:rsidRPr="00CF6413">
        <w:rPr>
          <w:rFonts w:ascii="Times New Roman" w:eastAsia="Times New Roman" w:hAnsi="Times New Roman" w:cs="Times New Roman"/>
          <w:color w:val="000000" w:themeColor="text1"/>
          <w:sz w:val="24"/>
          <w:szCs w:val="24"/>
          <w:lang w:eastAsia="es-AR"/>
        </w:rPr>
        <w:t>Hemocultivos</w:t>
      </w:r>
      <w:proofErr w:type="spellEnd"/>
      <w:r w:rsidRPr="00CF6413">
        <w:rPr>
          <w:rFonts w:ascii="Times New Roman" w:eastAsia="Times New Roman" w:hAnsi="Times New Roman" w:cs="Times New Roman"/>
          <w:color w:val="000000" w:themeColor="text1"/>
          <w:sz w:val="24"/>
          <w:szCs w:val="24"/>
          <w:lang w:eastAsia="es-AR"/>
        </w:rPr>
        <w:t xml:space="preserve"> seriados (idealmente, antes de comenzar la terapia antibiótica)</w:t>
      </w:r>
    </w:p>
    <w:p w:rsidR="00CF6413" w:rsidRPr="00CF6413" w:rsidRDefault="00CF6413" w:rsidP="00CF6413">
      <w:pPr>
        <w:numPr>
          <w:ilvl w:val="0"/>
          <w:numId w:val="6"/>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Prueba de anticuerpos anti-HIV, ensayos de concentración de RNA y PCR</w:t>
      </w:r>
    </w:p>
    <w:p w:rsidR="00CF6413" w:rsidRPr="00CF6413" w:rsidRDefault="00CF6413" w:rsidP="00CF6413">
      <w:pPr>
        <w:numPr>
          <w:ilvl w:val="0"/>
          <w:numId w:val="6"/>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Prueba cutánea de tuberculina o prueba de liberación de </w:t>
      </w:r>
      <w:proofErr w:type="spellStart"/>
      <w:r w:rsidRPr="00CF6413">
        <w:rPr>
          <w:rFonts w:ascii="Times New Roman" w:eastAsia="Times New Roman" w:hAnsi="Times New Roman" w:cs="Times New Roman"/>
          <w:color w:val="000000" w:themeColor="text1"/>
          <w:sz w:val="24"/>
          <w:szCs w:val="24"/>
          <w:lang w:eastAsia="es-AR"/>
        </w:rPr>
        <w:t>interferón</w:t>
      </w:r>
      <w:proofErr w:type="spellEnd"/>
      <w:r w:rsidRPr="00CF6413">
        <w:rPr>
          <w:rFonts w:ascii="Times New Roman" w:eastAsia="Times New Roman" w:hAnsi="Times New Roman" w:cs="Times New Roman"/>
          <w:color w:val="000000" w:themeColor="text1"/>
          <w:sz w:val="24"/>
          <w:szCs w:val="24"/>
          <w:lang w:eastAsia="es-AR"/>
        </w:rPr>
        <w:t>-gamma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Incluso si son realizadas en forma prematura, estas pruebas pueden indicar una tendencia útil.</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Por lo general, el análisis de orina completa, el </w:t>
      </w:r>
      <w:proofErr w:type="spellStart"/>
      <w:r w:rsidRPr="00CF6413">
        <w:rPr>
          <w:rFonts w:ascii="Times New Roman" w:eastAsia="Times New Roman" w:hAnsi="Times New Roman" w:cs="Times New Roman"/>
          <w:color w:val="000000" w:themeColor="text1"/>
          <w:sz w:val="24"/>
          <w:szCs w:val="24"/>
          <w:lang w:eastAsia="es-AR"/>
        </w:rPr>
        <w:t>urocultivo</w:t>
      </w:r>
      <w:proofErr w:type="spellEnd"/>
      <w:r w:rsidRPr="00CF6413">
        <w:rPr>
          <w:rFonts w:ascii="Times New Roman" w:eastAsia="Times New Roman" w:hAnsi="Times New Roman" w:cs="Times New Roman"/>
          <w:color w:val="000000" w:themeColor="text1"/>
          <w:sz w:val="24"/>
          <w:szCs w:val="24"/>
          <w:lang w:eastAsia="es-AR"/>
        </w:rPr>
        <w:t xml:space="preserve"> y las radiografías de tórax se repiten sólo si hay signos que así lo indiquen.</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Toda muestra disponible de líquidos o tejidos de áreas anormales identificadas en la exploración se somete a cultivo (para detectar bacterias, </w:t>
      </w:r>
      <w:proofErr w:type="spellStart"/>
      <w:r w:rsidRPr="00CF6413">
        <w:rPr>
          <w:rFonts w:ascii="Times New Roman" w:eastAsia="Times New Roman" w:hAnsi="Times New Roman" w:cs="Times New Roman"/>
          <w:color w:val="000000" w:themeColor="text1"/>
          <w:sz w:val="24"/>
          <w:szCs w:val="24"/>
          <w:lang w:eastAsia="es-AR"/>
        </w:rPr>
        <w:t>micobacterias</w:t>
      </w:r>
      <w:proofErr w:type="spellEnd"/>
      <w:r w:rsidRPr="00CF6413">
        <w:rPr>
          <w:rFonts w:ascii="Times New Roman" w:eastAsia="Times New Roman" w:hAnsi="Times New Roman" w:cs="Times New Roman"/>
          <w:color w:val="000000" w:themeColor="text1"/>
          <w:sz w:val="24"/>
          <w:szCs w:val="24"/>
          <w:lang w:eastAsia="es-AR"/>
        </w:rPr>
        <w:t>, hongos, virus o bacterias de cultivo exigente según esté indicado). Las pruebas específicas para microorganismos, como PCR o títulos serológicos (agudos y convalecientes), son útiles cuando responden a una sospecha clínica, pero no si se realizan al azar.</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Las pruebas serológicas, como la detección de anticuerpos antinucleares (ANA) y de factor </w:t>
      </w:r>
      <w:proofErr w:type="spellStart"/>
      <w:r w:rsidRPr="00CF6413">
        <w:rPr>
          <w:rFonts w:ascii="Times New Roman" w:eastAsia="Times New Roman" w:hAnsi="Times New Roman" w:cs="Times New Roman"/>
          <w:color w:val="000000" w:themeColor="text1"/>
          <w:sz w:val="24"/>
          <w:szCs w:val="24"/>
          <w:lang w:eastAsia="es-AR"/>
        </w:rPr>
        <w:t>reumatoideo</w:t>
      </w:r>
      <w:proofErr w:type="spellEnd"/>
      <w:r w:rsidRPr="00CF6413">
        <w:rPr>
          <w:rFonts w:ascii="Times New Roman" w:eastAsia="Times New Roman" w:hAnsi="Times New Roman" w:cs="Times New Roman"/>
          <w:color w:val="000000" w:themeColor="text1"/>
          <w:sz w:val="24"/>
          <w:szCs w:val="24"/>
          <w:lang w:eastAsia="es-AR"/>
        </w:rPr>
        <w:t>, se realizan para detectar trastornos reumáticos.</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Los </w:t>
      </w:r>
      <w:r w:rsidRPr="00CF6413">
        <w:rPr>
          <w:rFonts w:ascii="Times New Roman" w:eastAsia="Times New Roman" w:hAnsi="Times New Roman" w:cs="Times New Roman"/>
          <w:b/>
          <w:bCs/>
          <w:color w:val="000000" w:themeColor="text1"/>
          <w:sz w:val="24"/>
          <w:szCs w:val="24"/>
          <w:lang w:eastAsia="es-AR"/>
        </w:rPr>
        <w:t>estudios por imágenes</w:t>
      </w:r>
      <w:r w:rsidRPr="00CF6413">
        <w:rPr>
          <w:rFonts w:ascii="Times New Roman" w:eastAsia="Times New Roman" w:hAnsi="Times New Roman" w:cs="Times New Roman"/>
          <w:color w:val="000000" w:themeColor="text1"/>
          <w:sz w:val="24"/>
          <w:szCs w:val="24"/>
          <w:lang w:eastAsia="es-AR"/>
        </w:rPr>
        <w:t> se realizan según dicten los signos y síntomas. En general, las áreas en las que el paciente refiere molestias deben ser evaluadas; por ejemplo en pacientes con dolor de espalda, se realiza RM de la columna (para descartar infecciones o tumores); en aquellos con dolor abdominal, se realiza TC del abdomen. Sin embargo, la TC de tórax, abdomen y pelvis debe tenerse en cuenta para detectar adenopatías y abscesos ocultos aun en pacientes que no presentan signos ni síntomas que indiquen localización.</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Si los </w:t>
      </w:r>
      <w:proofErr w:type="spellStart"/>
      <w:r w:rsidRPr="00CF6413">
        <w:rPr>
          <w:rFonts w:ascii="Times New Roman" w:eastAsia="Times New Roman" w:hAnsi="Times New Roman" w:cs="Times New Roman"/>
          <w:color w:val="000000" w:themeColor="text1"/>
          <w:sz w:val="24"/>
          <w:szCs w:val="24"/>
          <w:lang w:eastAsia="es-AR"/>
        </w:rPr>
        <w:t>hemocultivos</w:t>
      </w:r>
      <w:proofErr w:type="spellEnd"/>
      <w:r w:rsidRPr="00CF6413">
        <w:rPr>
          <w:rFonts w:ascii="Times New Roman" w:eastAsia="Times New Roman" w:hAnsi="Times New Roman" w:cs="Times New Roman"/>
          <w:color w:val="000000" w:themeColor="text1"/>
          <w:sz w:val="24"/>
          <w:szCs w:val="24"/>
          <w:lang w:eastAsia="es-AR"/>
        </w:rPr>
        <w:t xml:space="preserve"> son positivos o hay soplos cardíacos o signos periféricos que indiquen endocarditis, se realiza un </w:t>
      </w:r>
      <w:proofErr w:type="spellStart"/>
      <w:r w:rsidRPr="00CF6413">
        <w:rPr>
          <w:rFonts w:ascii="Times New Roman" w:eastAsia="Times New Roman" w:hAnsi="Times New Roman" w:cs="Times New Roman"/>
          <w:color w:val="000000" w:themeColor="text1"/>
          <w:sz w:val="24"/>
          <w:szCs w:val="24"/>
          <w:lang w:eastAsia="es-AR"/>
        </w:rPr>
        <w:t>ecocardiograma</w:t>
      </w:r>
      <w:proofErr w:type="spellEnd"/>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En general, la TC es útil para delinear anomalías localizadas en el abdomen o el tórax.</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 RM es más sensible que la TC para detectar la mayoría de las causas de fiebre de origen desconocido que involucran el SNC, y debe realizarse si se considera que puede existir una causa de este tipo.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lastRenderedPageBreak/>
        <w:t>La ecografía dúplex venosa puede ser útil para identificar casos de trombosis venosa profunda.</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Las imágenes con </w:t>
      </w:r>
      <w:proofErr w:type="spellStart"/>
      <w:r w:rsidRPr="00CF6413">
        <w:rPr>
          <w:rFonts w:ascii="Times New Roman" w:eastAsia="Times New Roman" w:hAnsi="Times New Roman" w:cs="Times New Roman"/>
          <w:color w:val="000000" w:themeColor="text1"/>
          <w:sz w:val="24"/>
          <w:szCs w:val="24"/>
          <w:lang w:eastAsia="es-AR"/>
        </w:rPr>
        <w:t>radionucleídos</w:t>
      </w:r>
      <w:proofErr w:type="spellEnd"/>
      <w:r w:rsidRPr="00CF6413">
        <w:rPr>
          <w:rFonts w:ascii="Times New Roman" w:eastAsia="Times New Roman" w:hAnsi="Times New Roman" w:cs="Times New Roman"/>
          <w:color w:val="000000" w:themeColor="text1"/>
          <w:sz w:val="24"/>
          <w:szCs w:val="24"/>
          <w:lang w:eastAsia="es-AR"/>
        </w:rPr>
        <w:t xml:space="preserve">, con </w:t>
      </w:r>
      <w:proofErr w:type="spellStart"/>
      <w:r w:rsidRPr="00CF6413">
        <w:rPr>
          <w:rFonts w:ascii="Times New Roman" w:eastAsia="Times New Roman" w:hAnsi="Times New Roman" w:cs="Times New Roman"/>
          <w:color w:val="000000" w:themeColor="text1"/>
          <w:sz w:val="24"/>
          <w:szCs w:val="24"/>
          <w:lang w:eastAsia="es-AR"/>
        </w:rPr>
        <w:t>granulocitos</w:t>
      </w:r>
      <w:proofErr w:type="spellEnd"/>
      <w:r w:rsidRPr="00CF6413">
        <w:rPr>
          <w:rFonts w:ascii="Times New Roman" w:eastAsia="Times New Roman" w:hAnsi="Times New Roman" w:cs="Times New Roman"/>
          <w:color w:val="000000" w:themeColor="text1"/>
          <w:sz w:val="24"/>
          <w:szCs w:val="24"/>
          <w:lang w:eastAsia="es-AR"/>
        </w:rPr>
        <w:t xml:space="preserve"> marcados con indio-111, pueden ayudar a localizar algunos procesos infecciosos o inflamatorios. En general, esta técnica no goza de mucha aceptación porque se cree que contribuye muy poco al diagnóstico, pero algunos informes indican que es más útil que la TC.</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 PET también puede servir para detectar el origen de la fiebre.</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Puede ser necesaria una </w:t>
      </w:r>
      <w:r w:rsidRPr="00CF6413">
        <w:rPr>
          <w:rFonts w:ascii="Times New Roman" w:eastAsia="Times New Roman" w:hAnsi="Times New Roman" w:cs="Times New Roman"/>
          <w:b/>
          <w:bCs/>
          <w:color w:val="000000" w:themeColor="text1"/>
          <w:sz w:val="24"/>
          <w:szCs w:val="24"/>
          <w:lang w:eastAsia="es-AR"/>
        </w:rPr>
        <w:t>biopsia</w:t>
      </w:r>
      <w:r w:rsidRPr="00CF6413">
        <w:rPr>
          <w:rFonts w:ascii="Times New Roman" w:eastAsia="Times New Roman" w:hAnsi="Times New Roman" w:cs="Times New Roman"/>
          <w:color w:val="000000" w:themeColor="text1"/>
          <w:sz w:val="24"/>
          <w:szCs w:val="24"/>
          <w:lang w:eastAsia="es-AR"/>
        </w:rPr>
        <w:t xml:space="preserve"> si se sospecha una anomalía en un tejido que puede estudiarse con esta intervención (como el hígado, la médula ósea, la piel, la pleura, los ganglios linfáticos, el intestino, el músculo). Las muestras para biopsia deben ser evaluadas histopatológicamente y sometidas a cultivo para </w:t>
      </w:r>
      <w:proofErr w:type="spellStart"/>
      <w:r w:rsidRPr="00CF6413">
        <w:rPr>
          <w:rFonts w:ascii="Times New Roman" w:eastAsia="Times New Roman" w:hAnsi="Times New Roman" w:cs="Times New Roman"/>
          <w:color w:val="000000" w:themeColor="text1"/>
          <w:sz w:val="24"/>
          <w:szCs w:val="24"/>
          <w:lang w:eastAsia="es-AR"/>
        </w:rPr>
        <w:t>deteccción</w:t>
      </w:r>
      <w:proofErr w:type="spellEnd"/>
      <w:r w:rsidRPr="00CF6413">
        <w:rPr>
          <w:rFonts w:ascii="Times New Roman" w:eastAsia="Times New Roman" w:hAnsi="Times New Roman" w:cs="Times New Roman"/>
          <w:color w:val="000000" w:themeColor="text1"/>
          <w:sz w:val="24"/>
          <w:szCs w:val="24"/>
          <w:lang w:eastAsia="es-AR"/>
        </w:rPr>
        <w:t xml:space="preserve"> de bacterias, hongos, virus y </w:t>
      </w:r>
      <w:proofErr w:type="spellStart"/>
      <w:r w:rsidRPr="00CF6413">
        <w:rPr>
          <w:rFonts w:ascii="Times New Roman" w:eastAsia="Times New Roman" w:hAnsi="Times New Roman" w:cs="Times New Roman"/>
          <w:color w:val="000000" w:themeColor="text1"/>
          <w:sz w:val="24"/>
          <w:szCs w:val="24"/>
          <w:lang w:eastAsia="es-AR"/>
        </w:rPr>
        <w:t>micobacterias</w:t>
      </w:r>
      <w:proofErr w:type="spellEnd"/>
      <w:r w:rsidRPr="00CF6413">
        <w:rPr>
          <w:rFonts w:ascii="Times New Roman" w:eastAsia="Times New Roman" w:hAnsi="Times New Roman" w:cs="Times New Roman"/>
          <w:color w:val="000000" w:themeColor="text1"/>
          <w:sz w:val="24"/>
          <w:szCs w:val="24"/>
          <w:lang w:eastAsia="es-AR"/>
        </w:rPr>
        <w:t xml:space="preserve">, o estudiarse mediante PCR. Las biopsias de músculo o de piel en presencia de exantema pueden confirmar una vasculitis. La biopsia de la arteria temporal bilateral puede confirmar una arteritis de células gigantes en pacientes ancianos con aumento no explicable de la </w:t>
      </w:r>
      <w:proofErr w:type="spellStart"/>
      <w:r w:rsidRPr="00CF6413">
        <w:rPr>
          <w:rFonts w:ascii="Times New Roman" w:eastAsia="Times New Roman" w:hAnsi="Times New Roman" w:cs="Times New Roman"/>
          <w:color w:val="000000" w:themeColor="text1"/>
          <w:sz w:val="24"/>
          <w:szCs w:val="24"/>
          <w:lang w:eastAsia="es-AR"/>
        </w:rPr>
        <w:t>eritrosedimentación</w:t>
      </w:r>
      <w:proofErr w:type="spellEnd"/>
      <w:r w:rsidRPr="00CF6413">
        <w:rPr>
          <w:rFonts w:ascii="Times New Roman" w:eastAsia="Times New Roman" w:hAnsi="Times New Roman" w:cs="Times New Roman"/>
          <w:color w:val="000000" w:themeColor="text1"/>
          <w:sz w:val="24"/>
          <w:szCs w:val="24"/>
          <w:lang w:eastAsia="es-AR"/>
        </w:rPr>
        <w:t>.</w:t>
      </w:r>
    </w:p>
    <w:p w:rsidR="00CF6413" w:rsidRPr="00CF6413" w:rsidRDefault="00CF6413" w:rsidP="00CF6413">
      <w:pPr>
        <w:spacing w:after="63" w:line="240" w:lineRule="auto"/>
        <w:outlineLvl w:val="1"/>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Tratamiento</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El tratamiento de la FOD apunta al trastorno causal. Los antipiréticos deben usarse con precaución, teniendo en cuenta la duración del cuadro febril.</w:t>
      </w:r>
    </w:p>
    <w:p w:rsidR="00CF6413" w:rsidRPr="00CF6413" w:rsidRDefault="00CF6413" w:rsidP="00CF6413">
      <w:pPr>
        <w:spacing w:after="63" w:line="240" w:lineRule="auto"/>
        <w:outlineLvl w:val="1"/>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Aspectos particulares en geriatría: FOD</w:t>
      </w:r>
    </w:p>
    <w:p w:rsidR="00CF6413" w:rsidRPr="00CF6413" w:rsidRDefault="00CF6413" w:rsidP="00CF6413">
      <w:p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Usualmente, las causas de fiebre de origen desconocido en los pacientes ancianos son similares a las de la población general, aunque los trastornos del tejido conectivo se identifican más a menudo. Las causas más comunes son</w:t>
      </w:r>
    </w:p>
    <w:p w:rsidR="00CF6413" w:rsidRPr="00CF6413" w:rsidRDefault="00CF6413" w:rsidP="00CF6413">
      <w:pPr>
        <w:numPr>
          <w:ilvl w:val="0"/>
          <w:numId w:val="7"/>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Arteritis de células gigantes</w:t>
      </w:r>
    </w:p>
    <w:p w:rsidR="00CF6413" w:rsidRPr="00CF6413" w:rsidRDefault="00CF6413" w:rsidP="00CF6413">
      <w:pPr>
        <w:numPr>
          <w:ilvl w:val="0"/>
          <w:numId w:val="7"/>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Linfomas</w:t>
      </w:r>
    </w:p>
    <w:p w:rsidR="00CF6413" w:rsidRPr="00CF6413" w:rsidRDefault="00CF6413" w:rsidP="00CF6413">
      <w:pPr>
        <w:numPr>
          <w:ilvl w:val="0"/>
          <w:numId w:val="7"/>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Abscesos</w:t>
      </w:r>
    </w:p>
    <w:p w:rsidR="00CF6413" w:rsidRPr="00CF6413" w:rsidRDefault="00CF6413" w:rsidP="00CF6413">
      <w:pPr>
        <w:numPr>
          <w:ilvl w:val="0"/>
          <w:numId w:val="7"/>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Tuberculosis</w:t>
      </w:r>
    </w:p>
    <w:p w:rsidR="00CF6413" w:rsidRPr="00CF6413" w:rsidRDefault="00CF6413" w:rsidP="00CF6413">
      <w:pPr>
        <w:spacing w:before="120" w:after="0" w:line="240" w:lineRule="auto"/>
        <w:ind w:left="144"/>
        <w:outlineLvl w:val="1"/>
        <w:rPr>
          <w:rFonts w:ascii="Times New Roman" w:eastAsia="Times New Roman" w:hAnsi="Times New Roman" w:cs="Times New Roman"/>
          <w:b/>
          <w:bCs/>
          <w:color w:val="000000" w:themeColor="text1"/>
          <w:sz w:val="24"/>
          <w:szCs w:val="24"/>
          <w:lang w:eastAsia="es-AR"/>
        </w:rPr>
      </w:pPr>
      <w:r w:rsidRPr="00CF6413">
        <w:rPr>
          <w:rFonts w:ascii="Times New Roman" w:eastAsia="Times New Roman" w:hAnsi="Times New Roman" w:cs="Times New Roman"/>
          <w:b/>
          <w:bCs/>
          <w:color w:val="000000" w:themeColor="text1"/>
          <w:sz w:val="24"/>
          <w:szCs w:val="24"/>
          <w:lang w:eastAsia="es-AR"/>
        </w:rPr>
        <w:t>Conceptos clave</w:t>
      </w:r>
    </w:p>
    <w:p w:rsidR="00CF6413" w:rsidRPr="00CF6413" w:rsidRDefault="00CF6413" w:rsidP="00CF6413">
      <w:pPr>
        <w:numPr>
          <w:ilvl w:val="0"/>
          <w:numId w:val="8"/>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 fiebre de origen desconocido clásica es la temperatura corporal ≥ 38°C</w:t>
      </w:r>
      <w:r>
        <w:rPr>
          <w:rFonts w:ascii="Times New Roman" w:eastAsia="Times New Roman" w:hAnsi="Times New Roman" w:cs="Times New Roman"/>
          <w:color w:val="000000" w:themeColor="text1"/>
          <w:sz w:val="24"/>
          <w:szCs w:val="24"/>
          <w:lang w:eastAsia="es-AR"/>
        </w:rPr>
        <w:t xml:space="preserve"> medida por vía rectal durante </w:t>
      </w:r>
      <w:r w:rsidRPr="00CF6413">
        <w:rPr>
          <w:rFonts w:ascii="Times New Roman" w:eastAsia="Times New Roman" w:hAnsi="Times New Roman" w:cs="Times New Roman"/>
          <w:color w:val="000000" w:themeColor="text1"/>
          <w:sz w:val="24"/>
          <w:szCs w:val="24"/>
          <w:lang w:eastAsia="es-AR"/>
        </w:rPr>
        <w:t>≥ 3 semanas, sin causa identificable después de 3 días de internación en el hospital o de ≥ 3 consultas ambulatorias.</w:t>
      </w:r>
    </w:p>
    <w:p w:rsidR="00CF6413" w:rsidRPr="00CF6413" w:rsidRDefault="00CF6413" w:rsidP="00CF6413">
      <w:pPr>
        <w:numPr>
          <w:ilvl w:val="0"/>
          <w:numId w:val="8"/>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 xml:space="preserve">Las causas identificadas pueden categorizarse como infecciosas, del tejido conectivo, </w:t>
      </w:r>
      <w:proofErr w:type="spellStart"/>
      <w:r w:rsidRPr="00CF6413">
        <w:rPr>
          <w:rFonts w:ascii="Times New Roman" w:eastAsia="Times New Roman" w:hAnsi="Times New Roman" w:cs="Times New Roman"/>
          <w:color w:val="000000" w:themeColor="text1"/>
          <w:sz w:val="24"/>
          <w:szCs w:val="24"/>
          <w:lang w:eastAsia="es-AR"/>
        </w:rPr>
        <w:t>neoplásicas</w:t>
      </w:r>
      <w:proofErr w:type="spellEnd"/>
      <w:r w:rsidRPr="00CF6413">
        <w:rPr>
          <w:rFonts w:ascii="Times New Roman" w:eastAsia="Times New Roman" w:hAnsi="Times New Roman" w:cs="Times New Roman"/>
          <w:color w:val="000000" w:themeColor="text1"/>
          <w:sz w:val="24"/>
          <w:szCs w:val="24"/>
          <w:lang w:eastAsia="es-AR"/>
        </w:rPr>
        <w:t xml:space="preserve"> u otras.</w:t>
      </w:r>
    </w:p>
    <w:p w:rsidR="00CF6413" w:rsidRPr="00CF6413" w:rsidRDefault="00CF6413" w:rsidP="00CF6413">
      <w:pPr>
        <w:numPr>
          <w:ilvl w:val="0"/>
          <w:numId w:val="8"/>
        </w:numPr>
        <w:spacing w:after="100" w:afterAutospacing="1" w:line="240" w:lineRule="auto"/>
        <w:rPr>
          <w:rFonts w:ascii="Times New Roman" w:eastAsia="Times New Roman" w:hAnsi="Times New Roman" w:cs="Times New Roman"/>
          <w:color w:val="000000" w:themeColor="text1"/>
          <w:sz w:val="24"/>
          <w:szCs w:val="24"/>
          <w:lang w:eastAsia="es-AR"/>
        </w:rPr>
      </w:pPr>
      <w:r w:rsidRPr="00CF6413">
        <w:rPr>
          <w:rFonts w:ascii="Times New Roman" w:eastAsia="Times New Roman" w:hAnsi="Times New Roman" w:cs="Times New Roman"/>
          <w:color w:val="000000" w:themeColor="text1"/>
          <w:sz w:val="24"/>
          <w:szCs w:val="24"/>
          <w:lang w:eastAsia="es-AR"/>
        </w:rPr>
        <w:t>La evaluación debe basarse en un resumen de la anamnesis y del examen físico, con consideración especial de los factores de riesgo y de las causas probables de acuerdo con las circunstancias individuales.</w:t>
      </w:r>
    </w:p>
    <w:p w:rsidR="00313AED" w:rsidRDefault="00313AED"/>
    <w:sectPr w:rsidR="00313AED" w:rsidSect="00CF6413">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26F"/>
    <w:multiLevelType w:val="multilevel"/>
    <w:tmpl w:val="CD54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3A0E10"/>
    <w:multiLevelType w:val="multilevel"/>
    <w:tmpl w:val="47FA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86D01"/>
    <w:multiLevelType w:val="multilevel"/>
    <w:tmpl w:val="D886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0B0C3D"/>
    <w:multiLevelType w:val="multilevel"/>
    <w:tmpl w:val="7A38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C31C96"/>
    <w:multiLevelType w:val="multilevel"/>
    <w:tmpl w:val="C4BC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4E08D0"/>
    <w:multiLevelType w:val="multilevel"/>
    <w:tmpl w:val="92B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6E6CCA"/>
    <w:multiLevelType w:val="multilevel"/>
    <w:tmpl w:val="C6B6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41E6D1B"/>
    <w:multiLevelType w:val="multilevel"/>
    <w:tmpl w:val="C264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CF6413"/>
    <w:rsid w:val="00313AED"/>
    <w:rsid w:val="00331731"/>
    <w:rsid w:val="00CF641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ED"/>
  </w:style>
  <w:style w:type="paragraph" w:styleId="Ttulo1">
    <w:name w:val="heading 1"/>
    <w:basedOn w:val="Normal"/>
    <w:link w:val="Ttulo1Car"/>
    <w:uiPriority w:val="9"/>
    <w:qFormat/>
    <w:rsid w:val="00CF6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CF641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CF641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6413"/>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CF641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CF6413"/>
    <w:rPr>
      <w:rFonts w:ascii="Times New Roman" w:eastAsia="Times New Roman" w:hAnsi="Times New Roman" w:cs="Times New Roman"/>
      <w:b/>
      <w:bCs/>
      <w:sz w:val="27"/>
      <w:szCs w:val="27"/>
      <w:lang w:eastAsia="es-AR"/>
    </w:rPr>
  </w:style>
  <w:style w:type="paragraph" w:customStyle="1" w:styleId="author">
    <w:name w:val="author"/>
    <w:basedOn w:val="Normal"/>
    <w:rsid w:val="00CF64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CF6413"/>
    <w:rPr>
      <w:color w:val="0000FF"/>
      <w:u w:val="single"/>
    </w:rPr>
  </w:style>
  <w:style w:type="character" w:customStyle="1" w:styleId="nobr">
    <w:name w:val="nobr"/>
    <w:basedOn w:val="Fuentedeprrafopredeter"/>
    <w:rsid w:val="00CF6413"/>
  </w:style>
  <w:style w:type="character" w:customStyle="1" w:styleId="label">
    <w:name w:val="label"/>
    <w:basedOn w:val="Fuentedeprrafopredeter"/>
    <w:rsid w:val="00CF6413"/>
  </w:style>
  <w:style w:type="character" w:customStyle="1" w:styleId="redirect-label">
    <w:name w:val="redirect-label"/>
    <w:basedOn w:val="Fuentedeprrafopredeter"/>
    <w:rsid w:val="00CF6413"/>
  </w:style>
  <w:style w:type="paragraph" w:styleId="NormalWeb">
    <w:name w:val="Normal (Web)"/>
    <w:basedOn w:val="Normal"/>
    <w:uiPriority w:val="99"/>
    <w:unhideWhenUsed/>
    <w:rsid w:val="00CF641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symbol">
    <w:name w:val="symbol"/>
    <w:basedOn w:val="Fuentedeprrafopredeter"/>
    <w:rsid w:val="00CF6413"/>
  </w:style>
  <w:style w:type="character" w:customStyle="1" w:styleId="smallcaps">
    <w:name w:val="smallcaps"/>
    <w:basedOn w:val="Fuentedeprrafopredeter"/>
    <w:rsid w:val="00CF6413"/>
  </w:style>
</w:styles>
</file>

<file path=word/webSettings.xml><?xml version="1.0" encoding="utf-8"?>
<w:webSettings xmlns:r="http://schemas.openxmlformats.org/officeDocument/2006/relationships" xmlns:w="http://schemas.openxmlformats.org/wordprocessingml/2006/main">
  <w:divs>
    <w:div w:id="1644505946">
      <w:bodyDiv w:val="1"/>
      <w:marLeft w:val="0"/>
      <w:marRight w:val="0"/>
      <w:marTop w:val="0"/>
      <w:marBottom w:val="0"/>
      <w:divBdr>
        <w:top w:val="none" w:sz="0" w:space="0" w:color="auto"/>
        <w:left w:val="none" w:sz="0" w:space="0" w:color="auto"/>
        <w:bottom w:val="none" w:sz="0" w:space="0" w:color="auto"/>
        <w:right w:val="none" w:sz="0" w:space="0" w:color="auto"/>
      </w:divBdr>
      <w:divsChild>
        <w:div w:id="811605802">
          <w:marLeft w:val="0"/>
          <w:marRight w:val="0"/>
          <w:marTop w:val="0"/>
          <w:marBottom w:val="0"/>
          <w:divBdr>
            <w:top w:val="none" w:sz="0" w:space="0" w:color="auto"/>
            <w:left w:val="none" w:sz="0" w:space="0" w:color="auto"/>
            <w:bottom w:val="none" w:sz="0" w:space="0" w:color="auto"/>
            <w:right w:val="none" w:sz="0" w:space="0" w:color="auto"/>
          </w:divBdr>
        </w:div>
        <w:div w:id="616984310">
          <w:marLeft w:val="0"/>
          <w:marRight w:val="0"/>
          <w:marTop w:val="0"/>
          <w:marBottom w:val="125"/>
          <w:divBdr>
            <w:top w:val="none" w:sz="0" w:space="0" w:color="auto"/>
            <w:left w:val="none" w:sz="0" w:space="0" w:color="auto"/>
            <w:bottom w:val="single" w:sz="4" w:space="13" w:color="D7D7D7"/>
            <w:right w:val="none" w:sz="0" w:space="0" w:color="auto"/>
          </w:divBdr>
        </w:div>
        <w:div w:id="670180369">
          <w:marLeft w:val="233"/>
          <w:marRight w:val="0"/>
          <w:marTop w:val="0"/>
          <w:marBottom w:val="0"/>
          <w:divBdr>
            <w:top w:val="none" w:sz="0" w:space="0" w:color="auto"/>
            <w:left w:val="none" w:sz="0" w:space="0" w:color="auto"/>
            <w:bottom w:val="none" w:sz="0" w:space="0" w:color="auto"/>
            <w:right w:val="none" w:sz="0" w:space="0" w:color="auto"/>
          </w:divBdr>
          <w:divsChild>
            <w:div w:id="1949770459">
              <w:marLeft w:val="0"/>
              <w:marRight w:val="0"/>
              <w:marTop w:val="0"/>
              <w:marBottom w:val="0"/>
              <w:divBdr>
                <w:top w:val="single" w:sz="4" w:space="3" w:color="000000"/>
                <w:left w:val="single" w:sz="4" w:space="3" w:color="000000"/>
                <w:bottom w:val="single" w:sz="4" w:space="3" w:color="000000"/>
                <w:right w:val="single" w:sz="4" w:space="1" w:color="000000"/>
              </w:divBdr>
            </w:div>
            <w:div w:id="1298681098">
              <w:marLeft w:val="0"/>
              <w:marRight w:val="0"/>
              <w:marTop w:val="250"/>
              <w:marBottom w:val="250"/>
              <w:divBdr>
                <w:top w:val="none" w:sz="0" w:space="0" w:color="auto"/>
                <w:left w:val="none" w:sz="0" w:space="0" w:color="auto"/>
                <w:bottom w:val="none" w:sz="0" w:space="0" w:color="auto"/>
                <w:right w:val="none" w:sz="0" w:space="0" w:color="auto"/>
              </w:divBdr>
              <w:divsChild>
                <w:div w:id="7547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7401">
          <w:marLeft w:val="0"/>
          <w:marRight w:val="0"/>
          <w:marTop w:val="0"/>
          <w:marBottom w:val="0"/>
          <w:divBdr>
            <w:top w:val="none" w:sz="0" w:space="0" w:color="auto"/>
            <w:left w:val="none" w:sz="0" w:space="0" w:color="auto"/>
            <w:bottom w:val="none" w:sz="0" w:space="0" w:color="auto"/>
            <w:right w:val="none" w:sz="0" w:space="0" w:color="auto"/>
          </w:divBdr>
        </w:div>
        <w:div w:id="1155608019">
          <w:marLeft w:val="0"/>
          <w:marRight w:val="0"/>
          <w:marTop w:val="0"/>
          <w:marBottom w:val="0"/>
          <w:divBdr>
            <w:top w:val="none" w:sz="0" w:space="0" w:color="auto"/>
            <w:left w:val="none" w:sz="0" w:space="0" w:color="auto"/>
            <w:bottom w:val="none" w:sz="0" w:space="0" w:color="auto"/>
            <w:right w:val="none" w:sz="0" w:space="0" w:color="auto"/>
          </w:divBdr>
        </w:div>
        <w:div w:id="1565414787">
          <w:marLeft w:val="0"/>
          <w:marRight w:val="0"/>
          <w:marTop w:val="0"/>
          <w:marBottom w:val="0"/>
          <w:divBdr>
            <w:top w:val="none" w:sz="0" w:space="0" w:color="auto"/>
            <w:left w:val="none" w:sz="0" w:space="0" w:color="auto"/>
            <w:bottom w:val="none" w:sz="0" w:space="0" w:color="auto"/>
            <w:right w:val="none" w:sz="0" w:space="0" w:color="auto"/>
          </w:divBdr>
          <w:divsChild>
            <w:div w:id="863641552">
              <w:marLeft w:val="0"/>
              <w:marRight w:val="0"/>
              <w:marTop w:val="0"/>
              <w:marBottom w:val="0"/>
              <w:divBdr>
                <w:top w:val="none" w:sz="0" w:space="0" w:color="auto"/>
                <w:left w:val="none" w:sz="0" w:space="0" w:color="auto"/>
                <w:bottom w:val="none" w:sz="0" w:space="0" w:color="auto"/>
                <w:right w:val="none" w:sz="0" w:space="0" w:color="auto"/>
              </w:divBdr>
            </w:div>
            <w:div w:id="1939361811">
              <w:marLeft w:val="0"/>
              <w:marRight w:val="0"/>
              <w:marTop w:val="0"/>
              <w:marBottom w:val="0"/>
              <w:divBdr>
                <w:top w:val="none" w:sz="0" w:space="0" w:color="auto"/>
                <w:left w:val="none" w:sz="0" w:space="0" w:color="auto"/>
                <w:bottom w:val="none" w:sz="0" w:space="0" w:color="auto"/>
                <w:right w:val="none" w:sz="0" w:space="0" w:color="auto"/>
              </w:divBdr>
            </w:div>
            <w:div w:id="2006280394">
              <w:marLeft w:val="0"/>
              <w:marRight w:val="0"/>
              <w:marTop w:val="0"/>
              <w:marBottom w:val="0"/>
              <w:divBdr>
                <w:top w:val="none" w:sz="0" w:space="0" w:color="auto"/>
                <w:left w:val="none" w:sz="0" w:space="0" w:color="auto"/>
                <w:bottom w:val="none" w:sz="0" w:space="0" w:color="auto"/>
                <w:right w:val="none" w:sz="0" w:space="0" w:color="auto"/>
              </w:divBdr>
            </w:div>
            <w:div w:id="693267996">
              <w:marLeft w:val="0"/>
              <w:marRight w:val="0"/>
              <w:marTop w:val="0"/>
              <w:marBottom w:val="0"/>
              <w:divBdr>
                <w:top w:val="none" w:sz="0" w:space="0" w:color="auto"/>
                <w:left w:val="none" w:sz="0" w:space="0" w:color="auto"/>
                <w:bottom w:val="none" w:sz="0" w:space="0" w:color="auto"/>
                <w:right w:val="none" w:sz="0" w:space="0" w:color="auto"/>
              </w:divBdr>
            </w:div>
          </w:divsChild>
        </w:div>
        <w:div w:id="1880969181">
          <w:marLeft w:val="0"/>
          <w:marRight w:val="0"/>
          <w:marTop w:val="0"/>
          <w:marBottom w:val="0"/>
          <w:divBdr>
            <w:top w:val="none" w:sz="0" w:space="0" w:color="auto"/>
            <w:left w:val="none" w:sz="0" w:space="0" w:color="auto"/>
            <w:bottom w:val="none" w:sz="0" w:space="0" w:color="auto"/>
            <w:right w:val="none" w:sz="0" w:space="0" w:color="auto"/>
          </w:divBdr>
          <w:divsChild>
            <w:div w:id="199517844">
              <w:marLeft w:val="0"/>
              <w:marRight w:val="0"/>
              <w:marTop w:val="0"/>
              <w:marBottom w:val="0"/>
              <w:divBdr>
                <w:top w:val="none" w:sz="0" w:space="0" w:color="auto"/>
                <w:left w:val="none" w:sz="0" w:space="0" w:color="auto"/>
                <w:bottom w:val="none" w:sz="0" w:space="0" w:color="auto"/>
                <w:right w:val="none" w:sz="0" w:space="0" w:color="auto"/>
              </w:divBdr>
              <w:divsChild>
                <w:div w:id="794832513">
                  <w:marLeft w:val="0"/>
                  <w:marRight w:val="0"/>
                  <w:marTop w:val="0"/>
                  <w:marBottom w:val="0"/>
                  <w:divBdr>
                    <w:top w:val="none" w:sz="0" w:space="0" w:color="auto"/>
                    <w:left w:val="none" w:sz="0" w:space="0" w:color="auto"/>
                    <w:bottom w:val="none" w:sz="0" w:space="0" w:color="auto"/>
                    <w:right w:val="none" w:sz="0" w:space="0" w:color="auto"/>
                  </w:divBdr>
                </w:div>
                <w:div w:id="184950625">
                  <w:marLeft w:val="0"/>
                  <w:marRight w:val="0"/>
                  <w:marTop w:val="0"/>
                  <w:marBottom w:val="0"/>
                  <w:divBdr>
                    <w:top w:val="none" w:sz="0" w:space="0" w:color="auto"/>
                    <w:left w:val="none" w:sz="0" w:space="0" w:color="auto"/>
                    <w:bottom w:val="none" w:sz="0" w:space="0" w:color="auto"/>
                    <w:right w:val="none" w:sz="0" w:space="0" w:color="auto"/>
                  </w:divBdr>
                  <w:divsChild>
                    <w:div w:id="1237477351">
                      <w:marLeft w:val="0"/>
                      <w:marRight w:val="0"/>
                      <w:marTop w:val="0"/>
                      <w:marBottom w:val="0"/>
                      <w:divBdr>
                        <w:top w:val="none" w:sz="0" w:space="0" w:color="auto"/>
                        <w:left w:val="none" w:sz="0" w:space="0" w:color="auto"/>
                        <w:bottom w:val="none" w:sz="0" w:space="0" w:color="auto"/>
                        <w:right w:val="none" w:sz="0" w:space="0" w:color="auto"/>
                      </w:divBdr>
                    </w:div>
                    <w:div w:id="905141139">
                      <w:marLeft w:val="0"/>
                      <w:marRight w:val="0"/>
                      <w:marTop w:val="0"/>
                      <w:marBottom w:val="0"/>
                      <w:divBdr>
                        <w:top w:val="none" w:sz="0" w:space="0" w:color="auto"/>
                        <w:left w:val="none" w:sz="0" w:space="0" w:color="auto"/>
                        <w:bottom w:val="none" w:sz="0" w:space="0" w:color="auto"/>
                        <w:right w:val="none" w:sz="0" w:space="0" w:color="auto"/>
                      </w:divBdr>
                    </w:div>
                    <w:div w:id="1006979908">
                      <w:marLeft w:val="0"/>
                      <w:marRight w:val="0"/>
                      <w:marTop w:val="0"/>
                      <w:marBottom w:val="0"/>
                      <w:divBdr>
                        <w:top w:val="none" w:sz="0" w:space="0" w:color="auto"/>
                        <w:left w:val="none" w:sz="0" w:space="0" w:color="auto"/>
                        <w:bottom w:val="none" w:sz="0" w:space="0" w:color="auto"/>
                        <w:right w:val="none" w:sz="0" w:space="0" w:color="auto"/>
                      </w:divBdr>
                    </w:div>
                    <w:div w:id="362482552">
                      <w:marLeft w:val="0"/>
                      <w:marRight w:val="0"/>
                      <w:marTop w:val="0"/>
                      <w:marBottom w:val="0"/>
                      <w:divBdr>
                        <w:top w:val="none" w:sz="0" w:space="0" w:color="auto"/>
                        <w:left w:val="none" w:sz="0" w:space="0" w:color="auto"/>
                        <w:bottom w:val="none" w:sz="0" w:space="0" w:color="auto"/>
                        <w:right w:val="none" w:sz="0" w:space="0" w:color="auto"/>
                      </w:divBdr>
                    </w:div>
                  </w:divsChild>
                </w:div>
                <w:div w:id="1615557970">
                  <w:marLeft w:val="0"/>
                  <w:marRight w:val="0"/>
                  <w:marTop w:val="0"/>
                  <w:marBottom w:val="0"/>
                  <w:divBdr>
                    <w:top w:val="none" w:sz="0" w:space="0" w:color="auto"/>
                    <w:left w:val="none" w:sz="0" w:space="0" w:color="auto"/>
                    <w:bottom w:val="none" w:sz="0" w:space="0" w:color="auto"/>
                    <w:right w:val="none" w:sz="0" w:space="0" w:color="auto"/>
                  </w:divBdr>
                </w:div>
                <w:div w:id="2030257746">
                  <w:marLeft w:val="0"/>
                  <w:marRight w:val="0"/>
                  <w:marTop w:val="0"/>
                  <w:marBottom w:val="0"/>
                  <w:divBdr>
                    <w:top w:val="none" w:sz="0" w:space="0" w:color="auto"/>
                    <w:left w:val="none" w:sz="0" w:space="0" w:color="auto"/>
                    <w:bottom w:val="none" w:sz="0" w:space="0" w:color="auto"/>
                    <w:right w:val="none" w:sz="0" w:space="0" w:color="auto"/>
                  </w:divBdr>
                </w:div>
                <w:div w:id="1731491950">
                  <w:marLeft w:val="0"/>
                  <w:marRight w:val="0"/>
                  <w:marTop w:val="0"/>
                  <w:marBottom w:val="0"/>
                  <w:divBdr>
                    <w:top w:val="none" w:sz="0" w:space="0" w:color="auto"/>
                    <w:left w:val="none" w:sz="0" w:space="0" w:color="auto"/>
                    <w:bottom w:val="none" w:sz="0" w:space="0" w:color="auto"/>
                    <w:right w:val="none" w:sz="0" w:space="0" w:color="auto"/>
                  </w:divBdr>
                </w:div>
                <w:div w:id="1253708413">
                  <w:marLeft w:val="0"/>
                  <w:marRight w:val="0"/>
                  <w:marTop w:val="0"/>
                  <w:marBottom w:val="0"/>
                  <w:divBdr>
                    <w:top w:val="none" w:sz="0" w:space="0" w:color="auto"/>
                    <w:left w:val="none" w:sz="0" w:space="0" w:color="auto"/>
                    <w:bottom w:val="none" w:sz="0" w:space="0" w:color="auto"/>
                    <w:right w:val="none" w:sz="0" w:space="0" w:color="auto"/>
                  </w:divBdr>
                </w:div>
                <w:div w:id="1298410745">
                  <w:marLeft w:val="0"/>
                  <w:marRight w:val="0"/>
                  <w:marTop w:val="0"/>
                  <w:marBottom w:val="0"/>
                  <w:divBdr>
                    <w:top w:val="none" w:sz="0" w:space="0" w:color="auto"/>
                    <w:left w:val="none" w:sz="0" w:space="0" w:color="auto"/>
                    <w:bottom w:val="none" w:sz="0" w:space="0" w:color="auto"/>
                    <w:right w:val="none" w:sz="0" w:space="0" w:color="auto"/>
                  </w:divBdr>
                </w:div>
                <w:div w:id="1931430968">
                  <w:marLeft w:val="0"/>
                  <w:marRight w:val="0"/>
                  <w:marTop w:val="240"/>
                  <w:marBottom w:val="480"/>
                  <w:divBdr>
                    <w:top w:val="single" w:sz="4" w:space="0" w:color="B5BABE"/>
                    <w:left w:val="single" w:sz="4" w:space="0" w:color="B5BABE"/>
                    <w:bottom w:val="single" w:sz="4" w:space="0" w:color="B5BABE"/>
                    <w:right w:val="single" w:sz="4" w:space="0" w:color="B5BABE"/>
                  </w:divBdr>
                  <w:divsChild>
                    <w:div w:id="540477400">
                      <w:marLeft w:val="0"/>
                      <w:marRight w:val="0"/>
                      <w:marTop w:val="0"/>
                      <w:marBottom w:val="0"/>
                      <w:divBdr>
                        <w:top w:val="none" w:sz="0" w:space="0" w:color="auto"/>
                        <w:left w:val="none" w:sz="0" w:space="0" w:color="auto"/>
                        <w:bottom w:val="none" w:sz="0" w:space="0" w:color="auto"/>
                        <w:right w:val="none" w:sz="0" w:space="0" w:color="auto"/>
                      </w:divBdr>
                      <w:divsChild>
                        <w:div w:id="1964729569">
                          <w:marLeft w:val="0"/>
                          <w:marRight w:val="0"/>
                          <w:marTop w:val="0"/>
                          <w:marBottom w:val="0"/>
                          <w:divBdr>
                            <w:top w:val="none" w:sz="0" w:space="0" w:color="auto"/>
                            <w:left w:val="none" w:sz="0" w:space="0" w:color="auto"/>
                            <w:bottom w:val="none" w:sz="0" w:space="0" w:color="auto"/>
                            <w:right w:val="none" w:sz="0" w:space="0" w:color="auto"/>
                          </w:divBdr>
                          <w:divsChild>
                            <w:div w:id="618219765">
                              <w:marLeft w:val="0"/>
                              <w:marRight w:val="0"/>
                              <w:marTop w:val="100"/>
                              <w:marBottom w:val="100"/>
                              <w:divBdr>
                                <w:top w:val="none" w:sz="0" w:space="0" w:color="auto"/>
                                <w:left w:val="none" w:sz="0" w:space="0" w:color="auto"/>
                                <w:bottom w:val="none" w:sz="0" w:space="0" w:color="auto"/>
                                <w:right w:val="none" w:sz="0" w:space="0" w:color="auto"/>
                              </w:divBdr>
                              <w:divsChild>
                                <w:div w:id="1743261627">
                                  <w:marLeft w:val="0"/>
                                  <w:marRight w:val="0"/>
                                  <w:marTop w:val="0"/>
                                  <w:marBottom w:val="0"/>
                                  <w:divBdr>
                                    <w:top w:val="none" w:sz="0" w:space="0" w:color="auto"/>
                                    <w:left w:val="none" w:sz="0" w:space="0" w:color="auto"/>
                                    <w:bottom w:val="none" w:sz="0" w:space="0" w:color="auto"/>
                                    <w:right w:val="none" w:sz="0" w:space="0" w:color="auto"/>
                                  </w:divBdr>
                                </w:div>
                                <w:div w:id="54743739">
                                  <w:marLeft w:val="0"/>
                                  <w:marRight w:val="0"/>
                                  <w:marTop w:val="0"/>
                                  <w:marBottom w:val="0"/>
                                  <w:divBdr>
                                    <w:top w:val="none" w:sz="0" w:space="0" w:color="auto"/>
                                    <w:left w:val="none" w:sz="0" w:space="0" w:color="auto"/>
                                    <w:bottom w:val="none" w:sz="0" w:space="0" w:color="auto"/>
                                    <w:right w:val="none" w:sz="0" w:space="0" w:color="auto"/>
                                  </w:divBdr>
                                </w:div>
                                <w:div w:id="2096440453">
                                  <w:marLeft w:val="0"/>
                                  <w:marRight w:val="0"/>
                                  <w:marTop w:val="0"/>
                                  <w:marBottom w:val="0"/>
                                  <w:divBdr>
                                    <w:top w:val="none" w:sz="0" w:space="0" w:color="auto"/>
                                    <w:left w:val="none" w:sz="0" w:space="0" w:color="auto"/>
                                    <w:bottom w:val="none" w:sz="0" w:space="0" w:color="auto"/>
                                    <w:right w:val="none" w:sz="0" w:space="0" w:color="auto"/>
                                  </w:divBdr>
                                </w:div>
                                <w:div w:id="398097521">
                                  <w:marLeft w:val="0"/>
                                  <w:marRight w:val="0"/>
                                  <w:marTop w:val="0"/>
                                  <w:marBottom w:val="0"/>
                                  <w:divBdr>
                                    <w:top w:val="none" w:sz="0" w:space="0" w:color="auto"/>
                                    <w:left w:val="none" w:sz="0" w:space="0" w:color="auto"/>
                                    <w:bottom w:val="none" w:sz="0" w:space="0" w:color="auto"/>
                                    <w:right w:val="none" w:sz="0" w:space="0" w:color="auto"/>
                                  </w:divBdr>
                                </w:div>
                                <w:div w:id="823544418">
                                  <w:marLeft w:val="0"/>
                                  <w:marRight w:val="0"/>
                                  <w:marTop w:val="0"/>
                                  <w:marBottom w:val="0"/>
                                  <w:divBdr>
                                    <w:top w:val="none" w:sz="0" w:space="0" w:color="auto"/>
                                    <w:left w:val="none" w:sz="0" w:space="0" w:color="auto"/>
                                    <w:bottom w:val="none" w:sz="0" w:space="0" w:color="auto"/>
                                    <w:right w:val="none" w:sz="0" w:space="0" w:color="auto"/>
                                  </w:divBdr>
                                </w:div>
                                <w:div w:id="544758489">
                                  <w:marLeft w:val="0"/>
                                  <w:marRight w:val="0"/>
                                  <w:marTop w:val="0"/>
                                  <w:marBottom w:val="0"/>
                                  <w:divBdr>
                                    <w:top w:val="none" w:sz="0" w:space="0" w:color="auto"/>
                                    <w:left w:val="none" w:sz="0" w:space="0" w:color="auto"/>
                                    <w:bottom w:val="none" w:sz="0" w:space="0" w:color="auto"/>
                                    <w:right w:val="none" w:sz="0" w:space="0" w:color="auto"/>
                                  </w:divBdr>
                                </w:div>
                                <w:div w:id="1205408452">
                                  <w:marLeft w:val="0"/>
                                  <w:marRight w:val="0"/>
                                  <w:marTop w:val="0"/>
                                  <w:marBottom w:val="0"/>
                                  <w:divBdr>
                                    <w:top w:val="none" w:sz="0" w:space="0" w:color="auto"/>
                                    <w:left w:val="none" w:sz="0" w:space="0" w:color="auto"/>
                                    <w:bottom w:val="none" w:sz="0" w:space="0" w:color="auto"/>
                                    <w:right w:val="none" w:sz="0" w:space="0" w:color="auto"/>
                                  </w:divBdr>
                                </w:div>
                                <w:div w:id="87773974">
                                  <w:marLeft w:val="0"/>
                                  <w:marRight w:val="0"/>
                                  <w:marTop w:val="0"/>
                                  <w:marBottom w:val="0"/>
                                  <w:divBdr>
                                    <w:top w:val="none" w:sz="0" w:space="0" w:color="auto"/>
                                    <w:left w:val="none" w:sz="0" w:space="0" w:color="auto"/>
                                    <w:bottom w:val="none" w:sz="0" w:space="0" w:color="auto"/>
                                    <w:right w:val="none" w:sz="0" w:space="0" w:color="auto"/>
                                  </w:divBdr>
                                </w:div>
                                <w:div w:id="420371460">
                                  <w:marLeft w:val="0"/>
                                  <w:marRight w:val="0"/>
                                  <w:marTop w:val="0"/>
                                  <w:marBottom w:val="0"/>
                                  <w:divBdr>
                                    <w:top w:val="none" w:sz="0" w:space="0" w:color="auto"/>
                                    <w:left w:val="none" w:sz="0" w:space="0" w:color="auto"/>
                                    <w:bottom w:val="none" w:sz="0" w:space="0" w:color="auto"/>
                                    <w:right w:val="none" w:sz="0" w:space="0" w:color="auto"/>
                                  </w:divBdr>
                                </w:div>
                                <w:div w:id="421535867">
                                  <w:marLeft w:val="0"/>
                                  <w:marRight w:val="0"/>
                                  <w:marTop w:val="0"/>
                                  <w:marBottom w:val="0"/>
                                  <w:divBdr>
                                    <w:top w:val="none" w:sz="0" w:space="0" w:color="auto"/>
                                    <w:left w:val="none" w:sz="0" w:space="0" w:color="auto"/>
                                    <w:bottom w:val="none" w:sz="0" w:space="0" w:color="auto"/>
                                    <w:right w:val="none" w:sz="0" w:space="0" w:color="auto"/>
                                  </w:divBdr>
                                </w:div>
                                <w:div w:id="531000799">
                                  <w:marLeft w:val="0"/>
                                  <w:marRight w:val="0"/>
                                  <w:marTop w:val="0"/>
                                  <w:marBottom w:val="0"/>
                                  <w:divBdr>
                                    <w:top w:val="none" w:sz="0" w:space="0" w:color="auto"/>
                                    <w:left w:val="none" w:sz="0" w:space="0" w:color="auto"/>
                                    <w:bottom w:val="none" w:sz="0" w:space="0" w:color="auto"/>
                                    <w:right w:val="none" w:sz="0" w:space="0" w:color="auto"/>
                                  </w:divBdr>
                                </w:div>
                                <w:div w:id="598369458">
                                  <w:marLeft w:val="0"/>
                                  <w:marRight w:val="0"/>
                                  <w:marTop w:val="0"/>
                                  <w:marBottom w:val="0"/>
                                  <w:divBdr>
                                    <w:top w:val="none" w:sz="0" w:space="0" w:color="auto"/>
                                    <w:left w:val="none" w:sz="0" w:space="0" w:color="auto"/>
                                    <w:bottom w:val="none" w:sz="0" w:space="0" w:color="auto"/>
                                    <w:right w:val="none" w:sz="0" w:space="0" w:color="auto"/>
                                  </w:divBdr>
                                </w:div>
                                <w:div w:id="558713375">
                                  <w:marLeft w:val="0"/>
                                  <w:marRight w:val="0"/>
                                  <w:marTop w:val="0"/>
                                  <w:marBottom w:val="0"/>
                                  <w:divBdr>
                                    <w:top w:val="none" w:sz="0" w:space="0" w:color="auto"/>
                                    <w:left w:val="none" w:sz="0" w:space="0" w:color="auto"/>
                                    <w:bottom w:val="none" w:sz="0" w:space="0" w:color="auto"/>
                                    <w:right w:val="none" w:sz="0" w:space="0" w:color="auto"/>
                                  </w:divBdr>
                                </w:div>
                                <w:div w:id="743333198">
                                  <w:marLeft w:val="0"/>
                                  <w:marRight w:val="0"/>
                                  <w:marTop w:val="0"/>
                                  <w:marBottom w:val="0"/>
                                  <w:divBdr>
                                    <w:top w:val="none" w:sz="0" w:space="0" w:color="auto"/>
                                    <w:left w:val="none" w:sz="0" w:space="0" w:color="auto"/>
                                    <w:bottom w:val="none" w:sz="0" w:space="0" w:color="auto"/>
                                    <w:right w:val="none" w:sz="0" w:space="0" w:color="auto"/>
                                  </w:divBdr>
                                </w:div>
                                <w:div w:id="281349140">
                                  <w:marLeft w:val="0"/>
                                  <w:marRight w:val="0"/>
                                  <w:marTop w:val="0"/>
                                  <w:marBottom w:val="0"/>
                                  <w:divBdr>
                                    <w:top w:val="none" w:sz="0" w:space="0" w:color="auto"/>
                                    <w:left w:val="none" w:sz="0" w:space="0" w:color="auto"/>
                                    <w:bottom w:val="none" w:sz="0" w:space="0" w:color="auto"/>
                                    <w:right w:val="none" w:sz="0" w:space="0" w:color="auto"/>
                                  </w:divBdr>
                                </w:div>
                                <w:div w:id="1839540162">
                                  <w:marLeft w:val="0"/>
                                  <w:marRight w:val="0"/>
                                  <w:marTop w:val="0"/>
                                  <w:marBottom w:val="0"/>
                                  <w:divBdr>
                                    <w:top w:val="none" w:sz="0" w:space="0" w:color="auto"/>
                                    <w:left w:val="none" w:sz="0" w:space="0" w:color="auto"/>
                                    <w:bottom w:val="none" w:sz="0" w:space="0" w:color="auto"/>
                                    <w:right w:val="none" w:sz="0" w:space="0" w:color="auto"/>
                                  </w:divBdr>
                                </w:div>
                                <w:div w:id="1226841359">
                                  <w:marLeft w:val="0"/>
                                  <w:marRight w:val="0"/>
                                  <w:marTop w:val="0"/>
                                  <w:marBottom w:val="0"/>
                                  <w:divBdr>
                                    <w:top w:val="none" w:sz="0" w:space="0" w:color="auto"/>
                                    <w:left w:val="none" w:sz="0" w:space="0" w:color="auto"/>
                                    <w:bottom w:val="none" w:sz="0" w:space="0" w:color="auto"/>
                                    <w:right w:val="none" w:sz="0" w:space="0" w:color="auto"/>
                                  </w:divBdr>
                                </w:div>
                                <w:div w:id="1341473235">
                                  <w:marLeft w:val="0"/>
                                  <w:marRight w:val="0"/>
                                  <w:marTop w:val="0"/>
                                  <w:marBottom w:val="0"/>
                                  <w:divBdr>
                                    <w:top w:val="none" w:sz="0" w:space="0" w:color="auto"/>
                                    <w:left w:val="none" w:sz="0" w:space="0" w:color="auto"/>
                                    <w:bottom w:val="none" w:sz="0" w:space="0" w:color="auto"/>
                                    <w:right w:val="none" w:sz="0" w:space="0" w:color="auto"/>
                                  </w:divBdr>
                                </w:div>
                                <w:div w:id="1636914061">
                                  <w:marLeft w:val="0"/>
                                  <w:marRight w:val="0"/>
                                  <w:marTop w:val="0"/>
                                  <w:marBottom w:val="0"/>
                                  <w:divBdr>
                                    <w:top w:val="none" w:sz="0" w:space="0" w:color="auto"/>
                                    <w:left w:val="none" w:sz="0" w:space="0" w:color="auto"/>
                                    <w:bottom w:val="none" w:sz="0" w:space="0" w:color="auto"/>
                                    <w:right w:val="none" w:sz="0" w:space="0" w:color="auto"/>
                                  </w:divBdr>
                                </w:div>
                                <w:div w:id="1474635811">
                                  <w:marLeft w:val="0"/>
                                  <w:marRight w:val="0"/>
                                  <w:marTop w:val="0"/>
                                  <w:marBottom w:val="0"/>
                                  <w:divBdr>
                                    <w:top w:val="none" w:sz="0" w:space="0" w:color="auto"/>
                                    <w:left w:val="none" w:sz="0" w:space="0" w:color="auto"/>
                                    <w:bottom w:val="none" w:sz="0" w:space="0" w:color="auto"/>
                                    <w:right w:val="none" w:sz="0" w:space="0" w:color="auto"/>
                                  </w:divBdr>
                                </w:div>
                                <w:div w:id="1451819732">
                                  <w:marLeft w:val="0"/>
                                  <w:marRight w:val="0"/>
                                  <w:marTop w:val="0"/>
                                  <w:marBottom w:val="0"/>
                                  <w:divBdr>
                                    <w:top w:val="none" w:sz="0" w:space="0" w:color="auto"/>
                                    <w:left w:val="none" w:sz="0" w:space="0" w:color="auto"/>
                                    <w:bottom w:val="none" w:sz="0" w:space="0" w:color="auto"/>
                                    <w:right w:val="none" w:sz="0" w:space="0" w:color="auto"/>
                                  </w:divBdr>
                                </w:div>
                                <w:div w:id="321082692">
                                  <w:marLeft w:val="0"/>
                                  <w:marRight w:val="0"/>
                                  <w:marTop w:val="0"/>
                                  <w:marBottom w:val="0"/>
                                  <w:divBdr>
                                    <w:top w:val="none" w:sz="0" w:space="0" w:color="auto"/>
                                    <w:left w:val="none" w:sz="0" w:space="0" w:color="auto"/>
                                    <w:bottom w:val="none" w:sz="0" w:space="0" w:color="auto"/>
                                    <w:right w:val="none" w:sz="0" w:space="0" w:color="auto"/>
                                  </w:divBdr>
                                </w:div>
                                <w:div w:id="658311422">
                                  <w:marLeft w:val="0"/>
                                  <w:marRight w:val="0"/>
                                  <w:marTop w:val="0"/>
                                  <w:marBottom w:val="0"/>
                                  <w:divBdr>
                                    <w:top w:val="none" w:sz="0" w:space="0" w:color="auto"/>
                                    <w:left w:val="none" w:sz="0" w:space="0" w:color="auto"/>
                                    <w:bottom w:val="none" w:sz="0" w:space="0" w:color="auto"/>
                                    <w:right w:val="none" w:sz="0" w:space="0" w:color="auto"/>
                                  </w:divBdr>
                                </w:div>
                                <w:div w:id="297418321">
                                  <w:marLeft w:val="0"/>
                                  <w:marRight w:val="0"/>
                                  <w:marTop w:val="0"/>
                                  <w:marBottom w:val="0"/>
                                  <w:divBdr>
                                    <w:top w:val="none" w:sz="0" w:space="0" w:color="auto"/>
                                    <w:left w:val="none" w:sz="0" w:space="0" w:color="auto"/>
                                    <w:bottom w:val="none" w:sz="0" w:space="0" w:color="auto"/>
                                    <w:right w:val="none" w:sz="0" w:space="0" w:color="auto"/>
                                  </w:divBdr>
                                </w:div>
                                <w:div w:id="1083724390">
                                  <w:marLeft w:val="0"/>
                                  <w:marRight w:val="0"/>
                                  <w:marTop w:val="0"/>
                                  <w:marBottom w:val="0"/>
                                  <w:divBdr>
                                    <w:top w:val="none" w:sz="0" w:space="0" w:color="auto"/>
                                    <w:left w:val="none" w:sz="0" w:space="0" w:color="auto"/>
                                    <w:bottom w:val="none" w:sz="0" w:space="0" w:color="auto"/>
                                    <w:right w:val="none" w:sz="0" w:space="0" w:color="auto"/>
                                  </w:divBdr>
                                </w:div>
                                <w:div w:id="909845507">
                                  <w:marLeft w:val="0"/>
                                  <w:marRight w:val="0"/>
                                  <w:marTop w:val="0"/>
                                  <w:marBottom w:val="0"/>
                                  <w:divBdr>
                                    <w:top w:val="none" w:sz="0" w:space="0" w:color="auto"/>
                                    <w:left w:val="none" w:sz="0" w:space="0" w:color="auto"/>
                                    <w:bottom w:val="none" w:sz="0" w:space="0" w:color="auto"/>
                                    <w:right w:val="none" w:sz="0" w:space="0" w:color="auto"/>
                                  </w:divBdr>
                                </w:div>
                                <w:div w:id="276176888">
                                  <w:marLeft w:val="0"/>
                                  <w:marRight w:val="0"/>
                                  <w:marTop w:val="0"/>
                                  <w:marBottom w:val="0"/>
                                  <w:divBdr>
                                    <w:top w:val="none" w:sz="0" w:space="0" w:color="auto"/>
                                    <w:left w:val="none" w:sz="0" w:space="0" w:color="auto"/>
                                    <w:bottom w:val="none" w:sz="0" w:space="0" w:color="auto"/>
                                    <w:right w:val="none" w:sz="0" w:space="0" w:color="auto"/>
                                  </w:divBdr>
                                </w:div>
                                <w:div w:id="21127191">
                                  <w:marLeft w:val="0"/>
                                  <w:marRight w:val="0"/>
                                  <w:marTop w:val="0"/>
                                  <w:marBottom w:val="0"/>
                                  <w:divBdr>
                                    <w:top w:val="none" w:sz="0" w:space="0" w:color="auto"/>
                                    <w:left w:val="none" w:sz="0" w:space="0" w:color="auto"/>
                                    <w:bottom w:val="none" w:sz="0" w:space="0" w:color="auto"/>
                                    <w:right w:val="none" w:sz="0" w:space="0" w:color="auto"/>
                                  </w:divBdr>
                                </w:div>
                                <w:div w:id="160899064">
                                  <w:marLeft w:val="0"/>
                                  <w:marRight w:val="0"/>
                                  <w:marTop w:val="0"/>
                                  <w:marBottom w:val="0"/>
                                  <w:divBdr>
                                    <w:top w:val="none" w:sz="0" w:space="0" w:color="auto"/>
                                    <w:left w:val="none" w:sz="0" w:space="0" w:color="auto"/>
                                    <w:bottom w:val="none" w:sz="0" w:space="0" w:color="auto"/>
                                    <w:right w:val="none" w:sz="0" w:space="0" w:color="auto"/>
                                  </w:divBdr>
                                </w:div>
                                <w:div w:id="1852186224">
                                  <w:marLeft w:val="0"/>
                                  <w:marRight w:val="0"/>
                                  <w:marTop w:val="0"/>
                                  <w:marBottom w:val="0"/>
                                  <w:divBdr>
                                    <w:top w:val="none" w:sz="0" w:space="0" w:color="auto"/>
                                    <w:left w:val="none" w:sz="0" w:space="0" w:color="auto"/>
                                    <w:bottom w:val="none" w:sz="0" w:space="0" w:color="auto"/>
                                    <w:right w:val="none" w:sz="0" w:space="0" w:color="auto"/>
                                  </w:divBdr>
                                </w:div>
                                <w:div w:id="1123617328">
                                  <w:marLeft w:val="0"/>
                                  <w:marRight w:val="0"/>
                                  <w:marTop w:val="0"/>
                                  <w:marBottom w:val="0"/>
                                  <w:divBdr>
                                    <w:top w:val="none" w:sz="0" w:space="0" w:color="auto"/>
                                    <w:left w:val="none" w:sz="0" w:space="0" w:color="auto"/>
                                    <w:bottom w:val="none" w:sz="0" w:space="0" w:color="auto"/>
                                    <w:right w:val="none" w:sz="0" w:space="0" w:color="auto"/>
                                  </w:divBdr>
                                </w:div>
                                <w:div w:id="1458837440">
                                  <w:marLeft w:val="0"/>
                                  <w:marRight w:val="0"/>
                                  <w:marTop w:val="0"/>
                                  <w:marBottom w:val="0"/>
                                  <w:divBdr>
                                    <w:top w:val="none" w:sz="0" w:space="0" w:color="auto"/>
                                    <w:left w:val="none" w:sz="0" w:space="0" w:color="auto"/>
                                    <w:bottom w:val="none" w:sz="0" w:space="0" w:color="auto"/>
                                    <w:right w:val="none" w:sz="0" w:space="0" w:color="auto"/>
                                  </w:divBdr>
                                </w:div>
                                <w:div w:id="625161405">
                                  <w:marLeft w:val="0"/>
                                  <w:marRight w:val="0"/>
                                  <w:marTop w:val="0"/>
                                  <w:marBottom w:val="0"/>
                                  <w:divBdr>
                                    <w:top w:val="none" w:sz="0" w:space="0" w:color="auto"/>
                                    <w:left w:val="none" w:sz="0" w:space="0" w:color="auto"/>
                                    <w:bottom w:val="none" w:sz="0" w:space="0" w:color="auto"/>
                                    <w:right w:val="none" w:sz="0" w:space="0" w:color="auto"/>
                                  </w:divBdr>
                                </w:div>
                                <w:div w:id="1203860932">
                                  <w:marLeft w:val="0"/>
                                  <w:marRight w:val="0"/>
                                  <w:marTop w:val="0"/>
                                  <w:marBottom w:val="0"/>
                                  <w:divBdr>
                                    <w:top w:val="none" w:sz="0" w:space="0" w:color="auto"/>
                                    <w:left w:val="none" w:sz="0" w:space="0" w:color="auto"/>
                                    <w:bottom w:val="none" w:sz="0" w:space="0" w:color="auto"/>
                                    <w:right w:val="none" w:sz="0" w:space="0" w:color="auto"/>
                                  </w:divBdr>
                                </w:div>
                                <w:div w:id="450125655">
                                  <w:marLeft w:val="0"/>
                                  <w:marRight w:val="0"/>
                                  <w:marTop w:val="0"/>
                                  <w:marBottom w:val="0"/>
                                  <w:divBdr>
                                    <w:top w:val="none" w:sz="0" w:space="0" w:color="auto"/>
                                    <w:left w:val="none" w:sz="0" w:space="0" w:color="auto"/>
                                    <w:bottom w:val="none" w:sz="0" w:space="0" w:color="auto"/>
                                    <w:right w:val="none" w:sz="0" w:space="0" w:color="auto"/>
                                  </w:divBdr>
                                </w:div>
                                <w:div w:id="533926184">
                                  <w:marLeft w:val="0"/>
                                  <w:marRight w:val="0"/>
                                  <w:marTop w:val="0"/>
                                  <w:marBottom w:val="0"/>
                                  <w:divBdr>
                                    <w:top w:val="none" w:sz="0" w:space="0" w:color="auto"/>
                                    <w:left w:val="none" w:sz="0" w:space="0" w:color="auto"/>
                                    <w:bottom w:val="none" w:sz="0" w:space="0" w:color="auto"/>
                                    <w:right w:val="none" w:sz="0" w:space="0" w:color="auto"/>
                                  </w:divBdr>
                                </w:div>
                                <w:div w:id="822695244">
                                  <w:marLeft w:val="0"/>
                                  <w:marRight w:val="0"/>
                                  <w:marTop w:val="0"/>
                                  <w:marBottom w:val="0"/>
                                  <w:divBdr>
                                    <w:top w:val="none" w:sz="0" w:space="0" w:color="auto"/>
                                    <w:left w:val="none" w:sz="0" w:space="0" w:color="auto"/>
                                    <w:bottom w:val="none" w:sz="0" w:space="0" w:color="auto"/>
                                    <w:right w:val="none" w:sz="0" w:space="0" w:color="auto"/>
                                  </w:divBdr>
                                </w:div>
                                <w:div w:id="1720206959">
                                  <w:marLeft w:val="0"/>
                                  <w:marRight w:val="0"/>
                                  <w:marTop w:val="0"/>
                                  <w:marBottom w:val="0"/>
                                  <w:divBdr>
                                    <w:top w:val="none" w:sz="0" w:space="0" w:color="auto"/>
                                    <w:left w:val="none" w:sz="0" w:space="0" w:color="auto"/>
                                    <w:bottom w:val="none" w:sz="0" w:space="0" w:color="auto"/>
                                    <w:right w:val="none" w:sz="0" w:space="0" w:color="auto"/>
                                  </w:divBdr>
                                </w:div>
                                <w:div w:id="1058279986">
                                  <w:marLeft w:val="0"/>
                                  <w:marRight w:val="0"/>
                                  <w:marTop w:val="0"/>
                                  <w:marBottom w:val="0"/>
                                  <w:divBdr>
                                    <w:top w:val="none" w:sz="0" w:space="0" w:color="auto"/>
                                    <w:left w:val="none" w:sz="0" w:space="0" w:color="auto"/>
                                    <w:bottom w:val="none" w:sz="0" w:space="0" w:color="auto"/>
                                    <w:right w:val="none" w:sz="0" w:space="0" w:color="auto"/>
                                  </w:divBdr>
                                </w:div>
                                <w:div w:id="673261102">
                                  <w:marLeft w:val="0"/>
                                  <w:marRight w:val="0"/>
                                  <w:marTop w:val="0"/>
                                  <w:marBottom w:val="0"/>
                                  <w:divBdr>
                                    <w:top w:val="none" w:sz="0" w:space="0" w:color="auto"/>
                                    <w:left w:val="none" w:sz="0" w:space="0" w:color="auto"/>
                                    <w:bottom w:val="none" w:sz="0" w:space="0" w:color="auto"/>
                                    <w:right w:val="none" w:sz="0" w:space="0" w:color="auto"/>
                                  </w:divBdr>
                                </w:div>
                                <w:div w:id="1088768498">
                                  <w:marLeft w:val="0"/>
                                  <w:marRight w:val="0"/>
                                  <w:marTop w:val="0"/>
                                  <w:marBottom w:val="0"/>
                                  <w:divBdr>
                                    <w:top w:val="none" w:sz="0" w:space="0" w:color="auto"/>
                                    <w:left w:val="none" w:sz="0" w:space="0" w:color="auto"/>
                                    <w:bottom w:val="none" w:sz="0" w:space="0" w:color="auto"/>
                                    <w:right w:val="none" w:sz="0" w:space="0" w:color="auto"/>
                                  </w:divBdr>
                                </w:div>
                                <w:div w:id="1406874868">
                                  <w:marLeft w:val="0"/>
                                  <w:marRight w:val="0"/>
                                  <w:marTop w:val="0"/>
                                  <w:marBottom w:val="0"/>
                                  <w:divBdr>
                                    <w:top w:val="none" w:sz="0" w:space="0" w:color="auto"/>
                                    <w:left w:val="none" w:sz="0" w:space="0" w:color="auto"/>
                                    <w:bottom w:val="none" w:sz="0" w:space="0" w:color="auto"/>
                                    <w:right w:val="none" w:sz="0" w:space="0" w:color="auto"/>
                                  </w:divBdr>
                                </w:div>
                                <w:div w:id="97455243">
                                  <w:marLeft w:val="0"/>
                                  <w:marRight w:val="0"/>
                                  <w:marTop w:val="0"/>
                                  <w:marBottom w:val="0"/>
                                  <w:divBdr>
                                    <w:top w:val="none" w:sz="0" w:space="0" w:color="auto"/>
                                    <w:left w:val="none" w:sz="0" w:space="0" w:color="auto"/>
                                    <w:bottom w:val="none" w:sz="0" w:space="0" w:color="auto"/>
                                    <w:right w:val="none" w:sz="0" w:space="0" w:color="auto"/>
                                  </w:divBdr>
                                </w:div>
                                <w:div w:id="963736763">
                                  <w:marLeft w:val="0"/>
                                  <w:marRight w:val="0"/>
                                  <w:marTop w:val="0"/>
                                  <w:marBottom w:val="0"/>
                                  <w:divBdr>
                                    <w:top w:val="none" w:sz="0" w:space="0" w:color="auto"/>
                                    <w:left w:val="none" w:sz="0" w:space="0" w:color="auto"/>
                                    <w:bottom w:val="none" w:sz="0" w:space="0" w:color="auto"/>
                                    <w:right w:val="none" w:sz="0" w:space="0" w:color="auto"/>
                                  </w:divBdr>
                                </w:div>
                                <w:div w:id="1358967678">
                                  <w:marLeft w:val="0"/>
                                  <w:marRight w:val="0"/>
                                  <w:marTop w:val="0"/>
                                  <w:marBottom w:val="0"/>
                                  <w:divBdr>
                                    <w:top w:val="none" w:sz="0" w:space="0" w:color="auto"/>
                                    <w:left w:val="none" w:sz="0" w:space="0" w:color="auto"/>
                                    <w:bottom w:val="none" w:sz="0" w:space="0" w:color="auto"/>
                                    <w:right w:val="none" w:sz="0" w:space="0" w:color="auto"/>
                                  </w:divBdr>
                                </w:div>
                                <w:div w:id="303462360">
                                  <w:marLeft w:val="0"/>
                                  <w:marRight w:val="0"/>
                                  <w:marTop w:val="0"/>
                                  <w:marBottom w:val="0"/>
                                  <w:divBdr>
                                    <w:top w:val="none" w:sz="0" w:space="0" w:color="auto"/>
                                    <w:left w:val="none" w:sz="0" w:space="0" w:color="auto"/>
                                    <w:bottom w:val="none" w:sz="0" w:space="0" w:color="auto"/>
                                    <w:right w:val="none" w:sz="0" w:space="0" w:color="auto"/>
                                  </w:divBdr>
                                </w:div>
                                <w:div w:id="1088962521">
                                  <w:marLeft w:val="0"/>
                                  <w:marRight w:val="0"/>
                                  <w:marTop w:val="0"/>
                                  <w:marBottom w:val="0"/>
                                  <w:divBdr>
                                    <w:top w:val="none" w:sz="0" w:space="0" w:color="auto"/>
                                    <w:left w:val="none" w:sz="0" w:space="0" w:color="auto"/>
                                    <w:bottom w:val="none" w:sz="0" w:space="0" w:color="auto"/>
                                    <w:right w:val="none" w:sz="0" w:space="0" w:color="auto"/>
                                  </w:divBdr>
                                </w:div>
                                <w:div w:id="301808508">
                                  <w:marLeft w:val="0"/>
                                  <w:marRight w:val="0"/>
                                  <w:marTop w:val="0"/>
                                  <w:marBottom w:val="0"/>
                                  <w:divBdr>
                                    <w:top w:val="none" w:sz="0" w:space="0" w:color="auto"/>
                                    <w:left w:val="none" w:sz="0" w:space="0" w:color="auto"/>
                                    <w:bottom w:val="none" w:sz="0" w:space="0" w:color="auto"/>
                                    <w:right w:val="none" w:sz="0" w:space="0" w:color="auto"/>
                                  </w:divBdr>
                                </w:div>
                                <w:div w:id="448016389">
                                  <w:marLeft w:val="0"/>
                                  <w:marRight w:val="0"/>
                                  <w:marTop w:val="0"/>
                                  <w:marBottom w:val="0"/>
                                  <w:divBdr>
                                    <w:top w:val="none" w:sz="0" w:space="0" w:color="auto"/>
                                    <w:left w:val="none" w:sz="0" w:space="0" w:color="auto"/>
                                    <w:bottom w:val="none" w:sz="0" w:space="0" w:color="auto"/>
                                    <w:right w:val="none" w:sz="0" w:space="0" w:color="auto"/>
                                  </w:divBdr>
                                </w:div>
                                <w:div w:id="1488939969">
                                  <w:marLeft w:val="0"/>
                                  <w:marRight w:val="0"/>
                                  <w:marTop w:val="0"/>
                                  <w:marBottom w:val="0"/>
                                  <w:divBdr>
                                    <w:top w:val="none" w:sz="0" w:space="0" w:color="auto"/>
                                    <w:left w:val="none" w:sz="0" w:space="0" w:color="auto"/>
                                    <w:bottom w:val="none" w:sz="0" w:space="0" w:color="auto"/>
                                    <w:right w:val="none" w:sz="0" w:space="0" w:color="auto"/>
                                  </w:divBdr>
                                </w:div>
                                <w:div w:id="1841237168">
                                  <w:marLeft w:val="0"/>
                                  <w:marRight w:val="0"/>
                                  <w:marTop w:val="0"/>
                                  <w:marBottom w:val="0"/>
                                  <w:divBdr>
                                    <w:top w:val="none" w:sz="0" w:space="0" w:color="auto"/>
                                    <w:left w:val="none" w:sz="0" w:space="0" w:color="auto"/>
                                    <w:bottom w:val="none" w:sz="0" w:space="0" w:color="auto"/>
                                    <w:right w:val="none" w:sz="0" w:space="0" w:color="auto"/>
                                  </w:divBdr>
                                </w:div>
                                <w:div w:id="980116577">
                                  <w:marLeft w:val="0"/>
                                  <w:marRight w:val="0"/>
                                  <w:marTop w:val="0"/>
                                  <w:marBottom w:val="0"/>
                                  <w:divBdr>
                                    <w:top w:val="none" w:sz="0" w:space="0" w:color="auto"/>
                                    <w:left w:val="none" w:sz="0" w:space="0" w:color="auto"/>
                                    <w:bottom w:val="none" w:sz="0" w:space="0" w:color="auto"/>
                                    <w:right w:val="none" w:sz="0" w:space="0" w:color="auto"/>
                                  </w:divBdr>
                                </w:div>
                                <w:div w:id="161816951">
                                  <w:marLeft w:val="0"/>
                                  <w:marRight w:val="0"/>
                                  <w:marTop w:val="0"/>
                                  <w:marBottom w:val="0"/>
                                  <w:divBdr>
                                    <w:top w:val="none" w:sz="0" w:space="0" w:color="auto"/>
                                    <w:left w:val="none" w:sz="0" w:space="0" w:color="auto"/>
                                    <w:bottom w:val="none" w:sz="0" w:space="0" w:color="auto"/>
                                    <w:right w:val="none" w:sz="0" w:space="0" w:color="auto"/>
                                  </w:divBdr>
                                </w:div>
                                <w:div w:id="1466238107">
                                  <w:marLeft w:val="0"/>
                                  <w:marRight w:val="0"/>
                                  <w:marTop w:val="0"/>
                                  <w:marBottom w:val="0"/>
                                  <w:divBdr>
                                    <w:top w:val="none" w:sz="0" w:space="0" w:color="auto"/>
                                    <w:left w:val="none" w:sz="0" w:space="0" w:color="auto"/>
                                    <w:bottom w:val="none" w:sz="0" w:space="0" w:color="auto"/>
                                    <w:right w:val="none" w:sz="0" w:space="0" w:color="auto"/>
                                  </w:divBdr>
                                </w:div>
                                <w:div w:id="1160729321">
                                  <w:marLeft w:val="0"/>
                                  <w:marRight w:val="0"/>
                                  <w:marTop w:val="0"/>
                                  <w:marBottom w:val="0"/>
                                  <w:divBdr>
                                    <w:top w:val="none" w:sz="0" w:space="0" w:color="auto"/>
                                    <w:left w:val="none" w:sz="0" w:space="0" w:color="auto"/>
                                    <w:bottom w:val="none" w:sz="0" w:space="0" w:color="auto"/>
                                    <w:right w:val="none" w:sz="0" w:space="0" w:color="auto"/>
                                  </w:divBdr>
                                </w:div>
                                <w:div w:id="1145123569">
                                  <w:marLeft w:val="0"/>
                                  <w:marRight w:val="0"/>
                                  <w:marTop w:val="0"/>
                                  <w:marBottom w:val="0"/>
                                  <w:divBdr>
                                    <w:top w:val="none" w:sz="0" w:space="0" w:color="auto"/>
                                    <w:left w:val="none" w:sz="0" w:space="0" w:color="auto"/>
                                    <w:bottom w:val="none" w:sz="0" w:space="0" w:color="auto"/>
                                    <w:right w:val="none" w:sz="0" w:space="0" w:color="auto"/>
                                  </w:divBdr>
                                </w:div>
                                <w:div w:id="1867213351">
                                  <w:marLeft w:val="0"/>
                                  <w:marRight w:val="0"/>
                                  <w:marTop w:val="0"/>
                                  <w:marBottom w:val="0"/>
                                  <w:divBdr>
                                    <w:top w:val="none" w:sz="0" w:space="0" w:color="auto"/>
                                    <w:left w:val="none" w:sz="0" w:space="0" w:color="auto"/>
                                    <w:bottom w:val="none" w:sz="0" w:space="0" w:color="auto"/>
                                    <w:right w:val="none" w:sz="0" w:space="0" w:color="auto"/>
                                  </w:divBdr>
                                </w:div>
                                <w:div w:id="318580786">
                                  <w:marLeft w:val="0"/>
                                  <w:marRight w:val="0"/>
                                  <w:marTop w:val="0"/>
                                  <w:marBottom w:val="0"/>
                                  <w:divBdr>
                                    <w:top w:val="none" w:sz="0" w:space="0" w:color="auto"/>
                                    <w:left w:val="none" w:sz="0" w:space="0" w:color="auto"/>
                                    <w:bottom w:val="none" w:sz="0" w:space="0" w:color="auto"/>
                                    <w:right w:val="none" w:sz="0" w:space="0" w:color="auto"/>
                                  </w:divBdr>
                                </w:div>
                                <w:div w:id="664894071">
                                  <w:marLeft w:val="0"/>
                                  <w:marRight w:val="0"/>
                                  <w:marTop w:val="0"/>
                                  <w:marBottom w:val="0"/>
                                  <w:divBdr>
                                    <w:top w:val="none" w:sz="0" w:space="0" w:color="auto"/>
                                    <w:left w:val="none" w:sz="0" w:space="0" w:color="auto"/>
                                    <w:bottom w:val="none" w:sz="0" w:space="0" w:color="auto"/>
                                    <w:right w:val="none" w:sz="0" w:space="0" w:color="auto"/>
                                  </w:divBdr>
                                </w:div>
                                <w:div w:id="1679581450">
                                  <w:marLeft w:val="0"/>
                                  <w:marRight w:val="0"/>
                                  <w:marTop w:val="0"/>
                                  <w:marBottom w:val="0"/>
                                  <w:divBdr>
                                    <w:top w:val="none" w:sz="0" w:space="0" w:color="auto"/>
                                    <w:left w:val="none" w:sz="0" w:space="0" w:color="auto"/>
                                    <w:bottom w:val="none" w:sz="0" w:space="0" w:color="auto"/>
                                    <w:right w:val="none" w:sz="0" w:space="0" w:color="auto"/>
                                  </w:divBdr>
                                </w:div>
                                <w:div w:id="1871647678">
                                  <w:marLeft w:val="0"/>
                                  <w:marRight w:val="0"/>
                                  <w:marTop w:val="0"/>
                                  <w:marBottom w:val="0"/>
                                  <w:divBdr>
                                    <w:top w:val="none" w:sz="0" w:space="0" w:color="auto"/>
                                    <w:left w:val="none" w:sz="0" w:space="0" w:color="auto"/>
                                    <w:bottom w:val="none" w:sz="0" w:space="0" w:color="auto"/>
                                    <w:right w:val="none" w:sz="0" w:space="0" w:color="auto"/>
                                  </w:divBdr>
                                </w:div>
                                <w:div w:id="2030443693">
                                  <w:marLeft w:val="0"/>
                                  <w:marRight w:val="0"/>
                                  <w:marTop w:val="0"/>
                                  <w:marBottom w:val="0"/>
                                  <w:divBdr>
                                    <w:top w:val="none" w:sz="0" w:space="0" w:color="auto"/>
                                    <w:left w:val="none" w:sz="0" w:space="0" w:color="auto"/>
                                    <w:bottom w:val="none" w:sz="0" w:space="0" w:color="auto"/>
                                    <w:right w:val="none" w:sz="0" w:space="0" w:color="auto"/>
                                  </w:divBdr>
                                </w:div>
                                <w:div w:id="729578004">
                                  <w:marLeft w:val="0"/>
                                  <w:marRight w:val="0"/>
                                  <w:marTop w:val="0"/>
                                  <w:marBottom w:val="0"/>
                                  <w:divBdr>
                                    <w:top w:val="none" w:sz="0" w:space="0" w:color="auto"/>
                                    <w:left w:val="none" w:sz="0" w:space="0" w:color="auto"/>
                                    <w:bottom w:val="none" w:sz="0" w:space="0" w:color="auto"/>
                                    <w:right w:val="none" w:sz="0" w:space="0" w:color="auto"/>
                                  </w:divBdr>
                                </w:div>
                                <w:div w:id="1799839090">
                                  <w:marLeft w:val="0"/>
                                  <w:marRight w:val="0"/>
                                  <w:marTop w:val="0"/>
                                  <w:marBottom w:val="0"/>
                                  <w:divBdr>
                                    <w:top w:val="none" w:sz="0" w:space="0" w:color="auto"/>
                                    <w:left w:val="none" w:sz="0" w:space="0" w:color="auto"/>
                                    <w:bottom w:val="none" w:sz="0" w:space="0" w:color="auto"/>
                                    <w:right w:val="none" w:sz="0" w:space="0" w:color="auto"/>
                                  </w:divBdr>
                                </w:div>
                                <w:div w:id="2112700913">
                                  <w:marLeft w:val="0"/>
                                  <w:marRight w:val="0"/>
                                  <w:marTop w:val="0"/>
                                  <w:marBottom w:val="0"/>
                                  <w:divBdr>
                                    <w:top w:val="none" w:sz="0" w:space="0" w:color="auto"/>
                                    <w:left w:val="none" w:sz="0" w:space="0" w:color="auto"/>
                                    <w:bottom w:val="none" w:sz="0" w:space="0" w:color="auto"/>
                                    <w:right w:val="none" w:sz="0" w:space="0" w:color="auto"/>
                                  </w:divBdr>
                                </w:div>
                                <w:div w:id="1549413710">
                                  <w:marLeft w:val="0"/>
                                  <w:marRight w:val="0"/>
                                  <w:marTop w:val="0"/>
                                  <w:marBottom w:val="0"/>
                                  <w:divBdr>
                                    <w:top w:val="none" w:sz="0" w:space="0" w:color="auto"/>
                                    <w:left w:val="none" w:sz="0" w:space="0" w:color="auto"/>
                                    <w:bottom w:val="none" w:sz="0" w:space="0" w:color="auto"/>
                                    <w:right w:val="none" w:sz="0" w:space="0" w:color="auto"/>
                                  </w:divBdr>
                                </w:div>
                                <w:div w:id="754057443">
                                  <w:marLeft w:val="0"/>
                                  <w:marRight w:val="0"/>
                                  <w:marTop w:val="0"/>
                                  <w:marBottom w:val="0"/>
                                  <w:divBdr>
                                    <w:top w:val="none" w:sz="0" w:space="0" w:color="auto"/>
                                    <w:left w:val="none" w:sz="0" w:space="0" w:color="auto"/>
                                    <w:bottom w:val="none" w:sz="0" w:space="0" w:color="auto"/>
                                    <w:right w:val="none" w:sz="0" w:space="0" w:color="auto"/>
                                  </w:divBdr>
                                </w:div>
                                <w:div w:id="529344139">
                                  <w:marLeft w:val="0"/>
                                  <w:marRight w:val="0"/>
                                  <w:marTop w:val="0"/>
                                  <w:marBottom w:val="0"/>
                                  <w:divBdr>
                                    <w:top w:val="none" w:sz="0" w:space="0" w:color="auto"/>
                                    <w:left w:val="none" w:sz="0" w:space="0" w:color="auto"/>
                                    <w:bottom w:val="none" w:sz="0" w:space="0" w:color="auto"/>
                                    <w:right w:val="none" w:sz="0" w:space="0" w:color="auto"/>
                                  </w:divBdr>
                                </w:div>
                                <w:div w:id="911694999">
                                  <w:marLeft w:val="0"/>
                                  <w:marRight w:val="0"/>
                                  <w:marTop w:val="0"/>
                                  <w:marBottom w:val="0"/>
                                  <w:divBdr>
                                    <w:top w:val="none" w:sz="0" w:space="0" w:color="auto"/>
                                    <w:left w:val="none" w:sz="0" w:space="0" w:color="auto"/>
                                    <w:bottom w:val="none" w:sz="0" w:space="0" w:color="auto"/>
                                    <w:right w:val="none" w:sz="0" w:space="0" w:color="auto"/>
                                  </w:divBdr>
                                </w:div>
                                <w:div w:id="971905885">
                                  <w:marLeft w:val="0"/>
                                  <w:marRight w:val="0"/>
                                  <w:marTop w:val="0"/>
                                  <w:marBottom w:val="0"/>
                                  <w:divBdr>
                                    <w:top w:val="none" w:sz="0" w:space="0" w:color="auto"/>
                                    <w:left w:val="none" w:sz="0" w:space="0" w:color="auto"/>
                                    <w:bottom w:val="none" w:sz="0" w:space="0" w:color="auto"/>
                                    <w:right w:val="none" w:sz="0" w:space="0" w:color="auto"/>
                                  </w:divBdr>
                                </w:div>
                                <w:div w:id="1357536854">
                                  <w:marLeft w:val="0"/>
                                  <w:marRight w:val="0"/>
                                  <w:marTop w:val="0"/>
                                  <w:marBottom w:val="0"/>
                                  <w:divBdr>
                                    <w:top w:val="none" w:sz="0" w:space="0" w:color="auto"/>
                                    <w:left w:val="none" w:sz="0" w:space="0" w:color="auto"/>
                                    <w:bottom w:val="none" w:sz="0" w:space="0" w:color="auto"/>
                                    <w:right w:val="none" w:sz="0" w:space="0" w:color="auto"/>
                                  </w:divBdr>
                                </w:div>
                                <w:div w:id="846361124">
                                  <w:marLeft w:val="0"/>
                                  <w:marRight w:val="0"/>
                                  <w:marTop w:val="0"/>
                                  <w:marBottom w:val="0"/>
                                  <w:divBdr>
                                    <w:top w:val="none" w:sz="0" w:space="0" w:color="auto"/>
                                    <w:left w:val="none" w:sz="0" w:space="0" w:color="auto"/>
                                    <w:bottom w:val="none" w:sz="0" w:space="0" w:color="auto"/>
                                    <w:right w:val="none" w:sz="0" w:space="0" w:color="auto"/>
                                  </w:divBdr>
                                </w:div>
                                <w:div w:id="1871644318">
                                  <w:marLeft w:val="0"/>
                                  <w:marRight w:val="0"/>
                                  <w:marTop w:val="0"/>
                                  <w:marBottom w:val="0"/>
                                  <w:divBdr>
                                    <w:top w:val="none" w:sz="0" w:space="0" w:color="auto"/>
                                    <w:left w:val="none" w:sz="0" w:space="0" w:color="auto"/>
                                    <w:bottom w:val="none" w:sz="0" w:space="0" w:color="auto"/>
                                    <w:right w:val="none" w:sz="0" w:space="0" w:color="auto"/>
                                  </w:divBdr>
                                </w:div>
                                <w:div w:id="1464420694">
                                  <w:marLeft w:val="0"/>
                                  <w:marRight w:val="0"/>
                                  <w:marTop w:val="0"/>
                                  <w:marBottom w:val="0"/>
                                  <w:divBdr>
                                    <w:top w:val="none" w:sz="0" w:space="0" w:color="auto"/>
                                    <w:left w:val="none" w:sz="0" w:space="0" w:color="auto"/>
                                    <w:bottom w:val="none" w:sz="0" w:space="0" w:color="auto"/>
                                    <w:right w:val="none" w:sz="0" w:space="0" w:color="auto"/>
                                  </w:divBdr>
                                </w:div>
                                <w:div w:id="80570024">
                                  <w:marLeft w:val="0"/>
                                  <w:marRight w:val="0"/>
                                  <w:marTop w:val="0"/>
                                  <w:marBottom w:val="0"/>
                                  <w:divBdr>
                                    <w:top w:val="none" w:sz="0" w:space="0" w:color="auto"/>
                                    <w:left w:val="none" w:sz="0" w:space="0" w:color="auto"/>
                                    <w:bottom w:val="none" w:sz="0" w:space="0" w:color="auto"/>
                                    <w:right w:val="none" w:sz="0" w:space="0" w:color="auto"/>
                                  </w:divBdr>
                                </w:div>
                                <w:div w:id="1912619129">
                                  <w:marLeft w:val="0"/>
                                  <w:marRight w:val="0"/>
                                  <w:marTop w:val="0"/>
                                  <w:marBottom w:val="0"/>
                                  <w:divBdr>
                                    <w:top w:val="none" w:sz="0" w:space="0" w:color="auto"/>
                                    <w:left w:val="none" w:sz="0" w:space="0" w:color="auto"/>
                                    <w:bottom w:val="none" w:sz="0" w:space="0" w:color="auto"/>
                                    <w:right w:val="none" w:sz="0" w:space="0" w:color="auto"/>
                                  </w:divBdr>
                                </w:div>
                                <w:div w:id="1936937154">
                                  <w:marLeft w:val="0"/>
                                  <w:marRight w:val="0"/>
                                  <w:marTop w:val="0"/>
                                  <w:marBottom w:val="0"/>
                                  <w:divBdr>
                                    <w:top w:val="none" w:sz="0" w:space="0" w:color="auto"/>
                                    <w:left w:val="none" w:sz="0" w:space="0" w:color="auto"/>
                                    <w:bottom w:val="none" w:sz="0" w:space="0" w:color="auto"/>
                                    <w:right w:val="none" w:sz="0" w:space="0" w:color="auto"/>
                                  </w:divBdr>
                                </w:div>
                                <w:div w:id="924148248">
                                  <w:marLeft w:val="0"/>
                                  <w:marRight w:val="0"/>
                                  <w:marTop w:val="0"/>
                                  <w:marBottom w:val="0"/>
                                  <w:divBdr>
                                    <w:top w:val="none" w:sz="0" w:space="0" w:color="auto"/>
                                    <w:left w:val="none" w:sz="0" w:space="0" w:color="auto"/>
                                    <w:bottom w:val="none" w:sz="0" w:space="0" w:color="auto"/>
                                    <w:right w:val="none" w:sz="0" w:space="0" w:color="auto"/>
                                  </w:divBdr>
                                </w:div>
                                <w:div w:id="1482885263">
                                  <w:marLeft w:val="0"/>
                                  <w:marRight w:val="0"/>
                                  <w:marTop w:val="0"/>
                                  <w:marBottom w:val="0"/>
                                  <w:divBdr>
                                    <w:top w:val="none" w:sz="0" w:space="0" w:color="auto"/>
                                    <w:left w:val="none" w:sz="0" w:space="0" w:color="auto"/>
                                    <w:bottom w:val="none" w:sz="0" w:space="0" w:color="auto"/>
                                    <w:right w:val="none" w:sz="0" w:space="0" w:color="auto"/>
                                  </w:divBdr>
                                </w:div>
                                <w:div w:id="1373504853">
                                  <w:marLeft w:val="0"/>
                                  <w:marRight w:val="0"/>
                                  <w:marTop w:val="0"/>
                                  <w:marBottom w:val="0"/>
                                  <w:divBdr>
                                    <w:top w:val="none" w:sz="0" w:space="0" w:color="auto"/>
                                    <w:left w:val="none" w:sz="0" w:space="0" w:color="auto"/>
                                    <w:bottom w:val="none" w:sz="0" w:space="0" w:color="auto"/>
                                    <w:right w:val="none" w:sz="0" w:space="0" w:color="auto"/>
                                  </w:divBdr>
                                </w:div>
                                <w:div w:id="202451903">
                                  <w:marLeft w:val="0"/>
                                  <w:marRight w:val="0"/>
                                  <w:marTop w:val="0"/>
                                  <w:marBottom w:val="0"/>
                                  <w:divBdr>
                                    <w:top w:val="none" w:sz="0" w:space="0" w:color="auto"/>
                                    <w:left w:val="none" w:sz="0" w:space="0" w:color="auto"/>
                                    <w:bottom w:val="none" w:sz="0" w:space="0" w:color="auto"/>
                                    <w:right w:val="none" w:sz="0" w:space="0" w:color="auto"/>
                                  </w:divBdr>
                                </w:div>
                                <w:div w:id="1448505638">
                                  <w:marLeft w:val="0"/>
                                  <w:marRight w:val="0"/>
                                  <w:marTop w:val="0"/>
                                  <w:marBottom w:val="0"/>
                                  <w:divBdr>
                                    <w:top w:val="none" w:sz="0" w:space="0" w:color="auto"/>
                                    <w:left w:val="none" w:sz="0" w:space="0" w:color="auto"/>
                                    <w:bottom w:val="none" w:sz="0" w:space="0" w:color="auto"/>
                                    <w:right w:val="none" w:sz="0" w:space="0" w:color="auto"/>
                                  </w:divBdr>
                                </w:div>
                                <w:div w:id="1620181552">
                                  <w:marLeft w:val="0"/>
                                  <w:marRight w:val="0"/>
                                  <w:marTop w:val="0"/>
                                  <w:marBottom w:val="0"/>
                                  <w:divBdr>
                                    <w:top w:val="none" w:sz="0" w:space="0" w:color="auto"/>
                                    <w:left w:val="none" w:sz="0" w:space="0" w:color="auto"/>
                                    <w:bottom w:val="none" w:sz="0" w:space="0" w:color="auto"/>
                                    <w:right w:val="none" w:sz="0" w:space="0" w:color="auto"/>
                                  </w:divBdr>
                                </w:div>
                                <w:div w:id="1717775380">
                                  <w:marLeft w:val="0"/>
                                  <w:marRight w:val="0"/>
                                  <w:marTop w:val="0"/>
                                  <w:marBottom w:val="0"/>
                                  <w:divBdr>
                                    <w:top w:val="none" w:sz="0" w:space="0" w:color="auto"/>
                                    <w:left w:val="none" w:sz="0" w:space="0" w:color="auto"/>
                                    <w:bottom w:val="none" w:sz="0" w:space="0" w:color="auto"/>
                                    <w:right w:val="none" w:sz="0" w:space="0" w:color="auto"/>
                                  </w:divBdr>
                                </w:div>
                                <w:div w:id="496653930">
                                  <w:marLeft w:val="0"/>
                                  <w:marRight w:val="0"/>
                                  <w:marTop w:val="0"/>
                                  <w:marBottom w:val="0"/>
                                  <w:divBdr>
                                    <w:top w:val="none" w:sz="0" w:space="0" w:color="auto"/>
                                    <w:left w:val="none" w:sz="0" w:space="0" w:color="auto"/>
                                    <w:bottom w:val="none" w:sz="0" w:space="0" w:color="auto"/>
                                    <w:right w:val="none" w:sz="0" w:space="0" w:color="auto"/>
                                  </w:divBdr>
                                </w:div>
                                <w:div w:id="1007632139">
                                  <w:marLeft w:val="0"/>
                                  <w:marRight w:val="0"/>
                                  <w:marTop w:val="0"/>
                                  <w:marBottom w:val="0"/>
                                  <w:divBdr>
                                    <w:top w:val="none" w:sz="0" w:space="0" w:color="auto"/>
                                    <w:left w:val="none" w:sz="0" w:space="0" w:color="auto"/>
                                    <w:bottom w:val="none" w:sz="0" w:space="0" w:color="auto"/>
                                    <w:right w:val="none" w:sz="0" w:space="0" w:color="auto"/>
                                  </w:divBdr>
                                </w:div>
                                <w:div w:id="657004492">
                                  <w:marLeft w:val="0"/>
                                  <w:marRight w:val="0"/>
                                  <w:marTop w:val="0"/>
                                  <w:marBottom w:val="0"/>
                                  <w:divBdr>
                                    <w:top w:val="none" w:sz="0" w:space="0" w:color="auto"/>
                                    <w:left w:val="none" w:sz="0" w:space="0" w:color="auto"/>
                                    <w:bottom w:val="none" w:sz="0" w:space="0" w:color="auto"/>
                                    <w:right w:val="none" w:sz="0" w:space="0" w:color="auto"/>
                                  </w:divBdr>
                                </w:div>
                                <w:div w:id="1786726760">
                                  <w:marLeft w:val="0"/>
                                  <w:marRight w:val="0"/>
                                  <w:marTop w:val="0"/>
                                  <w:marBottom w:val="0"/>
                                  <w:divBdr>
                                    <w:top w:val="none" w:sz="0" w:space="0" w:color="auto"/>
                                    <w:left w:val="none" w:sz="0" w:space="0" w:color="auto"/>
                                    <w:bottom w:val="none" w:sz="0" w:space="0" w:color="auto"/>
                                    <w:right w:val="none" w:sz="0" w:space="0" w:color="auto"/>
                                  </w:divBdr>
                                </w:div>
                                <w:div w:id="1026557911">
                                  <w:marLeft w:val="0"/>
                                  <w:marRight w:val="0"/>
                                  <w:marTop w:val="0"/>
                                  <w:marBottom w:val="0"/>
                                  <w:divBdr>
                                    <w:top w:val="none" w:sz="0" w:space="0" w:color="auto"/>
                                    <w:left w:val="none" w:sz="0" w:space="0" w:color="auto"/>
                                    <w:bottom w:val="none" w:sz="0" w:space="0" w:color="auto"/>
                                    <w:right w:val="none" w:sz="0" w:space="0" w:color="auto"/>
                                  </w:divBdr>
                                </w:div>
                                <w:div w:id="1250193649">
                                  <w:marLeft w:val="0"/>
                                  <w:marRight w:val="0"/>
                                  <w:marTop w:val="0"/>
                                  <w:marBottom w:val="0"/>
                                  <w:divBdr>
                                    <w:top w:val="none" w:sz="0" w:space="0" w:color="auto"/>
                                    <w:left w:val="none" w:sz="0" w:space="0" w:color="auto"/>
                                    <w:bottom w:val="none" w:sz="0" w:space="0" w:color="auto"/>
                                    <w:right w:val="none" w:sz="0" w:space="0" w:color="auto"/>
                                  </w:divBdr>
                                </w:div>
                                <w:div w:id="2038382047">
                                  <w:marLeft w:val="0"/>
                                  <w:marRight w:val="0"/>
                                  <w:marTop w:val="0"/>
                                  <w:marBottom w:val="0"/>
                                  <w:divBdr>
                                    <w:top w:val="none" w:sz="0" w:space="0" w:color="auto"/>
                                    <w:left w:val="none" w:sz="0" w:space="0" w:color="auto"/>
                                    <w:bottom w:val="none" w:sz="0" w:space="0" w:color="auto"/>
                                    <w:right w:val="none" w:sz="0" w:space="0" w:color="auto"/>
                                  </w:divBdr>
                                </w:div>
                                <w:div w:id="942691693">
                                  <w:marLeft w:val="0"/>
                                  <w:marRight w:val="0"/>
                                  <w:marTop w:val="0"/>
                                  <w:marBottom w:val="0"/>
                                  <w:divBdr>
                                    <w:top w:val="none" w:sz="0" w:space="0" w:color="auto"/>
                                    <w:left w:val="none" w:sz="0" w:space="0" w:color="auto"/>
                                    <w:bottom w:val="none" w:sz="0" w:space="0" w:color="auto"/>
                                    <w:right w:val="none" w:sz="0" w:space="0" w:color="auto"/>
                                  </w:divBdr>
                                </w:div>
                                <w:div w:id="1199969431">
                                  <w:marLeft w:val="0"/>
                                  <w:marRight w:val="0"/>
                                  <w:marTop w:val="0"/>
                                  <w:marBottom w:val="0"/>
                                  <w:divBdr>
                                    <w:top w:val="none" w:sz="0" w:space="0" w:color="auto"/>
                                    <w:left w:val="none" w:sz="0" w:space="0" w:color="auto"/>
                                    <w:bottom w:val="none" w:sz="0" w:space="0" w:color="auto"/>
                                    <w:right w:val="none" w:sz="0" w:space="0" w:color="auto"/>
                                  </w:divBdr>
                                </w:div>
                                <w:div w:id="1649899363">
                                  <w:marLeft w:val="0"/>
                                  <w:marRight w:val="0"/>
                                  <w:marTop w:val="0"/>
                                  <w:marBottom w:val="0"/>
                                  <w:divBdr>
                                    <w:top w:val="none" w:sz="0" w:space="0" w:color="auto"/>
                                    <w:left w:val="none" w:sz="0" w:space="0" w:color="auto"/>
                                    <w:bottom w:val="none" w:sz="0" w:space="0" w:color="auto"/>
                                    <w:right w:val="none" w:sz="0" w:space="0" w:color="auto"/>
                                  </w:divBdr>
                                </w:div>
                                <w:div w:id="1297681230">
                                  <w:marLeft w:val="0"/>
                                  <w:marRight w:val="0"/>
                                  <w:marTop w:val="0"/>
                                  <w:marBottom w:val="0"/>
                                  <w:divBdr>
                                    <w:top w:val="none" w:sz="0" w:space="0" w:color="auto"/>
                                    <w:left w:val="none" w:sz="0" w:space="0" w:color="auto"/>
                                    <w:bottom w:val="none" w:sz="0" w:space="0" w:color="auto"/>
                                    <w:right w:val="none" w:sz="0" w:space="0" w:color="auto"/>
                                  </w:divBdr>
                                </w:div>
                                <w:div w:id="1063874711">
                                  <w:marLeft w:val="0"/>
                                  <w:marRight w:val="0"/>
                                  <w:marTop w:val="0"/>
                                  <w:marBottom w:val="0"/>
                                  <w:divBdr>
                                    <w:top w:val="none" w:sz="0" w:space="0" w:color="auto"/>
                                    <w:left w:val="none" w:sz="0" w:space="0" w:color="auto"/>
                                    <w:bottom w:val="none" w:sz="0" w:space="0" w:color="auto"/>
                                    <w:right w:val="none" w:sz="0" w:space="0" w:color="auto"/>
                                  </w:divBdr>
                                </w:div>
                                <w:div w:id="201790516">
                                  <w:marLeft w:val="0"/>
                                  <w:marRight w:val="0"/>
                                  <w:marTop w:val="0"/>
                                  <w:marBottom w:val="0"/>
                                  <w:divBdr>
                                    <w:top w:val="none" w:sz="0" w:space="0" w:color="auto"/>
                                    <w:left w:val="none" w:sz="0" w:space="0" w:color="auto"/>
                                    <w:bottom w:val="none" w:sz="0" w:space="0" w:color="auto"/>
                                    <w:right w:val="none" w:sz="0" w:space="0" w:color="auto"/>
                                  </w:divBdr>
                                </w:div>
                                <w:div w:id="305428860">
                                  <w:marLeft w:val="0"/>
                                  <w:marRight w:val="0"/>
                                  <w:marTop w:val="0"/>
                                  <w:marBottom w:val="0"/>
                                  <w:divBdr>
                                    <w:top w:val="none" w:sz="0" w:space="0" w:color="auto"/>
                                    <w:left w:val="none" w:sz="0" w:space="0" w:color="auto"/>
                                    <w:bottom w:val="none" w:sz="0" w:space="0" w:color="auto"/>
                                    <w:right w:val="none" w:sz="0" w:space="0" w:color="auto"/>
                                  </w:divBdr>
                                </w:div>
                                <w:div w:id="739523190">
                                  <w:marLeft w:val="0"/>
                                  <w:marRight w:val="0"/>
                                  <w:marTop w:val="0"/>
                                  <w:marBottom w:val="0"/>
                                  <w:divBdr>
                                    <w:top w:val="none" w:sz="0" w:space="0" w:color="auto"/>
                                    <w:left w:val="none" w:sz="0" w:space="0" w:color="auto"/>
                                    <w:bottom w:val="none" w:sz="0" w:space="0" w:color="auto"/>
                                    <w:right w:val="none" w:sz="0" w:space="0" w:color="auto"/>
                                  </w:divBdr>
                                </w:div>
                                <w:div w:id="1225526308">
                                  <w:marLeft w:val="0"/>
                                  <w:marRight w:val="0"/>
                                  <w:marTop w:val="0"/>
                                  <w:marBottom w:val="0"/>
                                  <w:divBdr>
                                    <w:top w:val="none" w:sz="0" w:space="0" w:color="auto"/>
                                    <w:left w:val="none" w:sz="0" w:space="0" w:color="auto"/>
                                    <w:bottom w:val="none" w:sz="0" w:space="0" w:color="auto"/>
                                    <w:right w:val="none" w:sz="0" w:space="0" w:color="auto"/>
                                  </w:divBdr>
                                </w:div>
                                <w:div w:id="1605915905">
                                  <w:marLeft w:val="0"/>
                                  <w:marRight w:val="0"/>
                                  <w:marTop w:val="0"/>
                                  <w:marBottom w:val="0"/>
                                  <w:divBdr>
                                    <w:top w:val="none" w:sz="0" w:space="0" w:color="auto"/>
                                    <w:left w:val="none" w:sz="0" w:space="0" w:color="auto"/>
                                    <w:bottom w:val="none" w:sz="0" w:space="0" w:color="auto"/>
                                    <w:right w:val="none" w:sz="0" w:space="0" w:color="auto"/>
                                  </w:divBdr>
                                </w:div>
                                <w:div w:id="689065453">
                                  <w:marLeft w:val="0"/>
                                  <w:marRight w:val="0"/>
                                  <w:marTop w:val="0"/>
                                  <w:marBottom w:val="0"/>
                                  <w:divBdr>
                                    <w:top w:val="none" w:sz="0" w:space="0" w:color="auto"/>
                                    <w:left w:val="none" w:sz="0" w:space="0" w:color="auto"/>
                                    <w:bottom w:val="none" w:sz="0" w:space="0" w:color="auto"/>
                                    <w:right w:val="none" w:sz="0" w:space="0" w:color="auto"/>
                                  </w:divBdr>
                                </w:div>
                                <w:div w:id="670255297">
                                  <w:marLeft w:val="0"/>
                                  <w:marRight w:val="0"/>
                                  <w:marTop w:val="0"/>
                                  <w:marBottom w:val="0"/>
                                  <w:divBdr>
                                    <w:top w:val="none" w:sz="0" w:space="0" w:color="auto"/>
                                    <w:left w:val="none" w:sz="0" w:space="0" w:color="auto"/>
                                    <w:bottom w:val="none" w:sz="0" w:space="0" w:color="auto"/>
                                    <w:right w:val="none" w:sz="0" w:space="0" w:color="auto"/>
                                  </w:divBdr>
                                </w:div>
                                <w:div w:id="622612019">
                                  <w:marLeft w:val="0"/>
                                  <w:marRight w:val="0"/>
                                  <w:marTop w:val="0"/>
                                  <w:marBottom w:val="0"/>
                                  <w:divBdr>
                                    <w:top w:val="none" w:sz="0" w:space="0" w:color="auto"/>
                                    <w:left w:val="none" w:sz="0" w:space="0" w:color="auto"/>
                                    <w:bottom w:val="none" w:sz="0" w:space="0" w:color="auto"/>
                                    <w:right w:val="none" w:sz="0" w:space="0" w:color="auto"/>
                                  </w:divBdr>
                                </w:div>
                                <w:div w:id="510681707">
                                  <w:marLeft w:val="0"/>
                                  <w:marRight w:val="0"/>
                                  <w:marTop w:val="0"/>
                                  <w:marBottom w:val="0"/>
                                  <w:divBdr>
                                    <w:top w:val="none" w:sz="0" w:space="0" w:color="auto"/>
                                    <w:left w:val="none" w:sz="0" w:space="0" w:color="auto"/>
                                    <w:bottom w:val="none" w:sz="0" w:space="0" w:color="auto"/>
                                    <w:right w:val="none" w:sz="0" w:space="0" w:color="auto"/>
                                  </w:divBdr>
                                </w:div>
                                <w:div w:id="1244872007">
                                  <w:marLeft w:val="0"/>
                                  <w:marRight w:val="0"/>
                                  <w:marTop w:val="0"/>
                                  <w:marBottom w:val="0"/>
                                  <w:divBdr>
                                    <w:top w:val="none" w:sz="0" w:space="0" w:color="auto"/>
                                    <w:left w:val="none" w:sz="0" w:space="0" w:color="auto"/>
                                    <w:bottom w:val="none" w:sz="0" w:space="0" w:color="auto"/>
                                    <w:right w:val="none" w:sz="0" w:space="0" w:color="auto"/>
                                  </w:divBdr>
                                </w:div>
                                <w:div w:id="1541628669">
                                  <w:marLeft w:val="0"/>
                                  <w:marRight w:val="0"/>
                                  <w:marTop w:val="0"/>
                                  <w:marBottom w:val="0"/>
                                  <w:divBdr>
                                    <w:top w:val="none" w:sz="0" w:space="0" w:color="auto"/>
                                    <w:left w:val="none" w:sz="0" w:space="0" w:color="auto"/>
                                    <w:bottom w:val="none" w:sz="0" w:space="0" w:color="auto"/>
                                    <w:right w:val="none" w:sz="0" w:space="0" w:color="auto"/>
                                  </w:divBdr>
                                </w:div>
                                <w:div w:id="776021714">
                                  <w:marLeft w:val="0"/>
                                  <w:marRight w:val="0"/>
                                  <w:marTop w:val="0"/>
                                  <w:marBottom w:val="0"/>
                                  <w:divBdr>
                                    <w:top w:val="none" w:sz="0" w:space="0" w:color="auto"/>
                                    <w:left w:val="none" w:sz="0" w:space="0" w:color="auto"/>
                                    <w:bottom w:val="none" w:sz="0" w:space="0" w:color="auto"/>
                                    <w:right w:val="none" w:sz="0" w:space="0" w:color="auto"/>
                                  </w:divBdr>
                                </w:div>
                                <w:div w:id="1555461156">
                                  <w:marLeft w:val="0"/>
                                  <w:marRight w:val="0"/>
                                  <w:marTop w:val="0"/>
                                  <w:marBottom w:val="0"/>
                                  <w:divBdr>
                                    <w:top w:val="none" w:sz="0" w:space="0" w:color="auto"/>
                                    <w:left w:val="none" w:sz="0" w:space="0" w:color="auto"/>
                                    <w:bottom w:val="none" w:sz="0" w:space="0" w:color="auto"/>
                                    <w:right w:val="none" w:sz="0" w:space="0" w:color="auto"/>
                                  </w:divBdr>
                                </w:div>
                                <w:div w:id="952903871">
                                  <w:marLeft w:val="0"/>
                                  <w:marRight w:val="0"/>
                                  <w:marTop w:val="0"/>
                                  <w:marBottom w:val="0"/>
                                  <w:divBdr>
                                    <w:top w:val="none" w:sz="0" w:space="0" w:color="auto"/>
                                    <w:left w:val="none" w:sz="0" w:space="0" w:color="auto"/>
                                    <w:bottom w:val="none" w:sz="0" w:space="0" w:color="auto"/>
                                    <w:right w:val="none" w:sz="0" w:space="0" w:color="auto"/>
                                  </w:divBdr>
                                </w:div>
                                <w:div w:id="1047799957">
                                  <w:marLeft w:val="0"/>
                                  <w:marRight w:val="0"/>
                                  <w:marTop w:val="0"/>
                                  <w:marBottom w:val="0"/>
                                  <w:divBdr>
                                    <w:top w:val="none" w:sz="0" w:space="0" w:color="auto"/>
                                    <w:left w:val="none" w:sz="0" w:space="0" w:color="auto"/>
                                    <w:bottom w:val="none" w:sz="0" w:space="0" w:color="auto"/>
                                    <w:right w:val="none" w:sz="0" w:space="0" w:color="auto"/>
                                  </w:divBdr>
                                </w:div>
                                <w:div w:id="2045052959">
                                  <w:marLeft w:val="0"/>
                                  <w:marRight w:val="0"/>
                                  <w:marTop w:val="0"/>
                                  <w:marBottom w:val="0"/>
                                  <w:divBdr>
                                    <w:top w:val="none" w:sz="0" w:space="0" w:color="auto"/>
                                    <w:left w:val="none" w:sz="0" w:space="0" w:color="auto"/>
                                    <w:bottom w:val="none" w:sz="0" w:space="0" w:color="auto"/>
                                    <w:right w:val="none" w:sz="0" w:space="0" w:color="auto"/>
                                  </w:divBdr>
                                </w:div>
                                <w:div w:id="465201702">
                                  <w:marLeft w:val="0"/>
                                  <w:marRight w:val="0"/>
                                  <w:marTop w:val="0"/>
                                  <w:marBottom w:val="0"/>
                                  <w:divBdr>
                                    <w:top w:val="none" w:sz="0" w:space="0" w:color="auto"/>
                                    <w:left w:val="none" w:sz="0" w:space="0" w:color="auto"/>
                                    <w:bottom w:val="none" w:sz="0" w:space="0" w:color="auto"/>
                                    <w:right w:val="none" w:sz="0" w:space="0" w:color="auto"/>
                                  </w:divBdr>
                                </w:div>
                                <w:div w:id="1520047268">
                                  <w:marLeft w:val="0"/>
                                  <w:marRight w:val="0"/>
                                  <w:marTop w:val="0"/>
                                  <w:marBottom w:val="0"/>
                                  <w:divBdr>
                                    <w:top w:val="none" w:sz="0" w:space="0" w:color="auto"/>
                                    <w:left w:val="none" w:sz="0" w:space="0" w:color="auto"/>
                                    <w:bottom w:val="none" w:sz="0" w:space="0" w:color="auto"/>
                                    <w:right w:val="none" w:sz="0" w:space="0" w:color="auto"/>
                                  </w:divBdr>
                                </w:div>
                                <w:div w:id="1904681603">
                                  <w:marLeft w:val="0"/>
                                  <w:marRight w:val="0"/>
                                  <w:marTop w:val="0"/>
                                  <w:marBottom w:val="0"/>
                                  <w:divBdr>
                                    <w:top w:val="none" w:sz="0" w:space="0" w:color="auto"/>
                                    <w:left w:val="none" w:sz="0" w:space="0" w:color="auto"/>
                                    <w:bottom w:val="none" w:sz="0" w:space="0" w:color="auto"/>
                                    <w:right w:val="none" w:sz="0" w:space="0" w:color="auto"/>
                                  </w:divBdr>
                                </w:div>
                                <w:div w:id="373651610">
                                  <w:marLeft w:val="0"/>
                                  <w:marRight w:val="0"/>
                                  <w:marTop w:val="0"/>
                                  <w:marBottom w:val="0"/>
                                  <w:divBdr>
                                    <w:top w:val="none" w:sz="0" w:space="0" w:color="auto"/>
                                    <w:left w:val="none" w:sz="0" w:space="0" w:color="auto"/>
                                    <w:bottom w:val="none" w:sz="0" w:space="0" w:color="auto"/>
                                    <w:right w:val="none" w:sz="0" w:space="0" w:color="auto"/>
                                  </w:divBdr>
                                </w:div>
                                <w:div w:id="1320230619">
                                  <w:marLeft w:val="0"/>
                                  <w:marRight w:val="0"/>
                                  <w:marTop w:val="0"/>
                                  <w:marBottom w:val="0"/>
                                  <w:divBdr>
                                    <w:top w:val="none" w:sz="0" w:space="0" w:color="auto"/>
                                    <w:left w:val="none" w:sz="0" w:space="0" w:color="auto"/>
                                    <w:bottom w:val="none" w:sz="0" w:space="0" w:color="auto"/>
                                    <w:right w:val="none" w:sz="0" w:space="0" w:color="auto"/>
                                  </w:divBdr>
                                </w:div>
                                <w:div w:id="983776956">
                                  <w:marLeft w:val="0"/>
                                  <w:marRight w:val="0"/>
                                  <w:marTop w:val="0"/>
                                  <w:marBottom w:val="0"/>
                                  <w:divBdr>
                                    <w:top w:val="none" w:sz="0" w:space="0" w:color="auto"/>
                                    <w:left w:val="none" w:sz="0" w:space="0" w:color="auto"/>
                                    <w:bottom w:val="none" w:sz="0" w:space="0" w:color="auto"/>
                                    <w:right w:val="none" w:sz="0" w:space="0" w:color="auto"/>
                                  </w:divBdr>
                                </w:div>
                                <w:div w:id="1478033813">
                                  <w:marLeft w:val="0"/>
                                  <w:marRight w:val="0"/>
                                  <w:marTop w:val="0"/>
                                  <w:marBottom w:val="0"/>
                                  <w:divBdr>
                                    <w:top w:val="none" w:sz="0" w:space="0" w:color="auto"/>
                                    <w:left w:val="none" w:sz="0" w:space="0" w:color="auto"/>
                                    <w:bottom w:val="none" w:sz="0" w:space="0" w:color="auto"/>
                                    <w:right w:val="none" w:sz="0" w:space="0" w:color="auto"/>
                                  </w:divBdr>
                                </w:div>
                                <w:div w:id="740062457">
                                  <w:marLeft w:val="0"/>
                                  <w:marRight w:val="0"/>
                                  <w:marTop w:val="0"/>
                                  <w:marBottom w:val="0"/>
                                  <w:divBdr>
                                    <w:top w:val="none" w:sz="0" w:space="0" w:color="auto"/>
                                    <w:left w:val="none" w:sz="0" w:space="0" w:color="auto"/>
                                    <w:bottom w:val="none" w:sz="0" w:space="0" w:color="auto"/>
                                    <w:right w:val="none" w:sz="0" w:space="0" w:color="auto"/>
                                  </w:divBdr>
                                </w:div>
                                <w:div w:id="543955509">
                                  <w:marLeft w:val="0"/>
                                  <w:marRight w:val="0"/>
                                  <w:marTop w:val="0"/>
                                  <w:marBottom w:val="0"/>
                                  <w:divBdr>
                                    <w:top w:val="none" w:sz="0" w:space="0" w:color="auto"/>
                                    <w:left w:val="none" w:sz="0" w:space="0" w:color="auto"/>
                                    <w:bottom w:val="none" w:sz="0" w:space="0" w:color="auto"/>
                                    <w:right w:val="none" w:sz="0" w:space="0" w:color="auto"/>
                                  </w:divBdr>
                                </w:div>
                                <w:div w:id="1690907762">
                                  <w:marLeft w:val="0"/>
                                  <w:marRight w:val="0"/>
                                  <w:marTop w:val="0"/>
                                  <w:marBottom w:val="0"/>
                                  <w:divBdr>
                                    <w:top w:val="none" w:sz="0" w:space="0" w:color="auto"/>
                                    <w:left w:val="none" w:sz="0" w:space="0" w:color="auto"/>
                                    <w:bottom w:val="none" w:sz="0" w:space="0" w:color="auto"/>
                                    <w:right w:val="none" w:sz="0" w:space="0" w:color="auto"/>
                                  </w:divBdr>
                                </w:div>
                                <w:div w:id="464812751">
                                  <w:marLeft w:val="0"/>
                                  <w:marRight w:val="0"/>
                                  <w:marTop w:val="0"/>
                                  <w:marBottom w:val="0"/>
                                  <w:divBdr>
                                    <w:top w:val="none" w:sz="0" w:space="0" w:color="auto"/>
                                    <w:left w:val="none" w:sz="0" w:space="0" w:color="auto"/>
                                    <w:bottom w:val="none" w:sz="0" w:space="0" w:color="auto"/>
                                    <w:right w:val="none" w:sz="0" w:space="0" w:color="auto"/>
                                  </w:divBdr>
                                </w:div>
                                <w:div w:id="37821396">
                                  <w:marLeft w:val="0"/>
                                  <w:marRight w:val="0"/>
                                  <w:marTop w:val="0"/>
                                  <w:marBottom w:val="0"/>
                                  <w:divBdr>
                                    <w:top w:val="none" w:sz="0" w:space="0" w:color="auto"/>
                                    <w:left w:val="none" w:sz="0" w:space="0" w:color="auto"/>
                                    <w:bottom w:val="none" w:sz="0" w:space="0" w:color="auto"/>
                                    <w:right w:val="none" w:sz="0" w:space="0" w:color="auto"/>
                                  </w:divBdr>
                                </w:div>
                                <w:div w:id="579026104">
                                  <w:marLeft w:val="0"/>
                                  <w:marRight w:val="0"/>
                                  <w:marTop w:val="0"/>
                                  <w:marBottom w:val="0"/>
                                  <w:divBdr>
                                    <w:top w:val="none" w:sz="0" w:space="0" w:color="auto"/>
                                    <w:left w:val="none" w:sz="0" w:space="0" w:color="auto"/>
                                    <w:bottom w:val="none" w:sz="0" w:space="0" w:color="auto"/>
                                    <w:right w:val="none" w:sz="0" w:space="0" w:color="auto"/>
                                  </w:divBdr>
                                </w:div>
                                <w:div w:id="2021539084">
                                  <w:marLeft w:val="0"/>
                                  <w:marRight w:val="0"/>
                                  <w:marTop w:val="0"/>
                                  <w:marBottom w:val="0"/>
                                  <w:divBdr>
                                    <w:top w:val="none" w:sz="0" w:space="0" w:color="auto"/>
                                    <w:left w:val="none" w:sz="0" w:space="0" w:color="auto"/>
                                    <w:bottom w:val="none" w:sz="0" w:space="0" w:color="auto"/>
                                    <w:right w:val="none" w:sz="0" w:space="0" w:color="auto"/>
                                  </w:divBdr>
                                </w:div>
                                <w:div w:id="233854419">
                                  <w:marLeft w:val="0"/>
                                  <w:marRight w:val="0"/>
                                  <w:marTop w:val="0"/>
                                  <w:marBottom w:val="0"/>
                                  <w:divBdr>
                                    <w:top w:val="none" w:sz="0" w:space="0" w:color="auto"/>
                                    <w:left w:val="none" w:sz="0" w:space="0" w:color="auto"/>
                                    <w:bottom w:val="none" w:sz="0" w:space="0" w:color="auto"/>
                                    <w:right w:val="none" w:sz="0" w:space="0" w:color="auto"/>
                                  </w:divBdr>
                                </w:div>
                                <w:div w:id="249581262">
                                  <w:marLeft w:val="0"/>
                                  <w:marRight w:val="0"/>
                                  <w:marTop w:val="0"/>
                                  <w:marBottom w:val="0"/>
                                  <w:divBdr>
                                    <w:top w:val="none" w:sz="0" w:space="0" w:color="auto"/>
                                    <w:left w:val="none" w:sz="0" w:space="0" w:color="auto"/>
                                    <w:bottom w:val="none" w:sz="0" w:space="0" w:color="auto"/>
                                    <w:right w:val="none" w:sz="0" w:space="0" w:color="auto"/>
                                  </w:divBdr>
                                </w:div>
                                <w:div w:id="1417286055">
                                  <w:marLeft w:val="0"/>
                                  <w:marRight w:val="0"/>
                                  <w:marTop w:val="0"/>
                                  <w:marBottom w:val="0"/>
                                  <w:divBdr>
                                    <w:top w:val="none" w:sz="0" w:space="0" w:color="auto"/>
                                    <w:left w:val="none" w:sz="0" w:space="0" w:color="auto"/>
                                    <w:bottom w:val="none" w:sz="0" w:space="0" w:color="auto"/>
                                    <w:right w:val="none" w:sz="0" w:space="0" w:color="auto"/>
                                  </w:divBdr>
                                </w:div>
                                <w:div w:id="7840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221">
              <w:marLeft w:val="0"/>
              <w:marRight w:val="0"/>
              <w:marTop w:val="0"/>
              <w:marBottom w:val="0"/>
              <w:divBdr>
                <w:top w:val="none" w:sz="0" w:space="0" w:color="auto"/>
                <w:left w:val="none" w:sz="0" w:space="0" w:color="auto"/>
                <w:bottom w:val="none" w:sz="0" w:space="0" w:color="auto"/>
                <w:right w:val="none" w:sz="0" w:space="0" w:color="auto"/>
              </w:divBdr>
              <w:divsChild>
                <w:div w:id="1824658254">
                  <w:marLeft w:val="0"/>
                  <w:marRight w:val="0"/>
                  <w:marTop w:val="0"/>
                  <w:marBottom w:val="0"/>
                  <w:divBdr>
                    <w:top w:val="none" w:sz="0" w:space="0" w:color="auto"/>
                    <w:left w:val="none" w:sz="0" w:space="0" w:color="auto"/>
                    <w:bottom w:val="none" w:sz="0" w:space="0" w:color="auto"/>
                    <w:right w:val="none" w:sz="0" w:space="0" w:color="auto"/>
                  </w:divBdr>
                </w:div>
                <w:div w:id="567040189">
                  <w:marLeft w:val="0"/>
                  <w:marRight w:val="0"/>
                  <w:marTop w:val="0"/>
                  <w:marBottom w:val="0"/>
                  <w:divBdr>
                    <w:top w:val="none" w:sz="0" w:space="0" w:color="auto"/>
                    <w:left w:val="none" w:sz="0" w:space="0" w:color="auto"/>
                    <w:bottom w:val="none" w:sz="0" w:space="0" w:color="auto"/>
                    <w:right w:val="none" w:sz="0" w:space="0" w:color="auto"/>
                  </w:divBdr>
                </w:div>
                <w:div w:id="1703744821">
                  <w:marLeft w:val="0"/>
                  <w:marRight w:val="0"/>
                  <w:marTop w:val="0"/>
                  <w:marBottom w:val="0"/>
                  <w:divBdr>
                    <w:top w:val="none" w:sz="0" w:space="0" w:color="auto"/>
                    <w:left w:val="none" w:sz="0" w:space="0" w:color="auto"/>
                    <w:bottom w:val="none" w:sz="0" w:space="0" w:color="auto"/>
                    <w:right w:val="none" w:sz="0" w:space="0" w:color="auto"/>
                  </w:divBdr>
                  <w:divsChild>
                    <w:div w:id="1963685172">
                      <w:marLeft w:val="0"/>
                      <w:marRight w:val="0"/>
                      <w:marTop w:val="0"/>
                      <w:marBottom w:val="0"/>
                      <w:divBdr>
                        <w:top w:val="none" w:sz="0" w:space="0" w:color="auto"/>
                        <w:left w:val="none" w:sz="0" w:space="0" w:color="auto"/>
                        <w:bottom w:val="none" w:sz="0" w:space="0" w:color="auto"/>
                        <w:right w:val="none" w:sz="0" w:space="0" w:color="auto"/>
                      </w:divBdr>
                      <w:divsChild>
                        <w:div w:id="1911887226">
                          <w:marLeft w:val="0"/>
                          <w:marRight w:val="0"/>
                          <w:marTop w:val="0"/>
                          <w:marBottom w:val="0"/>
                          <w:divBdr>
                            <w:top w:val="none" w:sz="0" w:space="0" w:color="auto"/>
                            <w:left w:val="none" w:sz="0" w:space="0" w:color="auto"/>
                            <w:bottom w:val="none" w:sz="0" w:space="0" w:color="auto"/>
                            <w:right w:val="none" w:sz="0" w:space="0" w:color="auto"/>
                          </w:divBdr>
                        </w:div>
                        <w:div w:id="1846935674">
                          <w:marLeft w:val="0"/>
                          <w:marRight w:val="0"/>
                          <w:marTop w:val="0"/>
                          <w:marBottom w:val="0"/>
                          <w:divBdr>
                            <w:top w:val="none" w:sz="0" w:space="0" w:color="auto"/>
                            <w:left w:val="none" w:sz="0" w:space="0" w:color="auto"/>
                            <w:bottom w:val="none" w:sz="0" w:space="0" w:color="auto"/>
                            <w:right w:val="none" w:sz="0" w:space="0" w:color="auto"/>
                          </w:divBdr>
                        </w:div>
                        <w:div w:id="1552571690">
                          <w:marLeft w:val="0"/>
                          <w:marRight w:val="0"/>
                          <w:marTop w:val="0"/>
                          <w:marBottom w:val="0"/>
                          <w:divBdr>
                            <w:top w:val="none" w:sz="0" w:space="0" w:color="auto"/>
                            <w:left w:val="none" w:sz="0" w:space="0" w:color="auto"/>
                            <w:bottom w:val="none" w:sz="0" w:space="0" w:color="auto"/>
                            <w:right w:val="none" w:sz="0" w:space="0" w:color="auto"/>
                          </w:divBdr>
                        </w:div>
                        <w:div w:id="845097753">
                          <w:marLeft w:val="0"/>
                          <w:marRight w:val="0"/>
                          <w:marTop w:val="0"/>
                          <w:marBottom w:val="0"/>
                          <w:divBdr>
                            <w:top w:val="none" w:sz="0" w:space="0" w:color="auto"/>
                            <w:left w:val="none" w:sz="0" w:space="0" w:color="auto"/>
                            <w:bottom w:val="none" w:sz="0" w:space="0" w:color="auto"/>
                            <w:right w:val="none" w:sz="0" w:space="0" w:color="auto"/>
                          </w:divBdr>
                        </w:div>
                        <w:div w:id="1832014955">
                          <w:marLeft w:val="0"/>
                          <w:marRight w:val="0"/>
                          <w:marTop w:val="0"/>
                          <w:marBottom w:val="0"/>
                          <w:divBdr>
                            <w:top w:val="none" w:sz="0" w:space="0" w:color="auto"/>
                            <w:left w:val="none" w:sz="0" w:space="0" w:color="auto"/>
                            <w:bottom w:val="none" w:sz="0" w:space="0" w:color="auto"/>
                            <w:right w:val="none" w:sz="0" w:space="0" w:color="auto"/>
                          </w:divBdr>
                        </w:div>
                        <w:div w:id="1049914545">
                          <w:marLeft w:val="0"/>
                          <w:marRight w:val="0"/>
                          <w:marTop w:val="0"/>
                          <w:marBottom w:val="0"/>
                          <w:divBdr>
                            <w:top w:val="none" w:sz="0" w:space="0" w:color="auto"/>
                            <w:left w:val="none" w:sz="0" w:space="0" w:color="auto"/>
                            <w:bottom w:val="none" w:sz="0" w:space="0" w:color="auto"/>
                            <w:right w:val="none" w:sz="0" w:space="0" w:color="auto"/>
                          </w:divBdr>
                        </w:div>
                        <w:div w:id="1563520762">
                          <w:marLeft w:val="0"/>
                          <w:marRight w:val="0"/>
                          <w:marTop w:val="0"/>
                          <w:marBottom w:val="0"/>
                          <w:divBdr>
                            <w:top w:val="none" w:sz="0" w:space="0" w:color="auto"/>
                            <w:left w:val="none" w:sz="0" w:space="0" w:color="auto"/>
                            <w:bottom w:val="none" w:sz="0" w:space="0" w:color="auto"/>
                            <w:right w:val="none" w:sz="0" w:space="0" w:color="auto"/>
                          </w:divBdr>
                        </w:div>
                        <w:div w:id="34363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238654">
                  <w:marLeft w:val="0"/>
                  <w:marRight w:val="0"/>
                  <w:marTop w:val="0"/>
                  <w:marBottom w:val="0"/>
                  <w:divBdr>
                    <w:top w:val="none" w:sz="0" w:space="0" w:color="auto"/>
                    <w:left w:val="none" w:sz="0" w:space="0" w:color="auto"/>
                    <w:bottom w:val="none" w:sz="0" w:space="0" w:color="auto"/>
                    <w:right w:val="none" w:sz="0" w:space="0" w:color="auto"/>
                  </w:divBdr>
                  <w:divsChild>
                    <w:div w:id="726223120">
                      <w:marLeft w:val="0"/>
                      <w:marRight w:val="0"/>
                      <w:marTop w:val="0"/>
                      <w:marBottom w:val="0"/>
                      <w:divBdr>
                        <w:top w:val="none" w:sz="0" w:space="0" w:color="auto"/>
                        <w:left w:val="none" w:sz="0" w:space="0" w:color="auto"/>
                        <w:bottom w:val="none" w:sz="0" w:space="0" w:color="auto"/>
                        <w:right w:val="none" w:sz="0" w:space="0" w:color="auto"/>
                      </w:divBdr>
                      <w:divsChild>
                        <w:div w:id="612597010">
                          <w:marLeft w:val="0"/>
                          <w:marRight w:val="0"/>
                          <w:marTop w:val="0"/>
                          <w:marBottom w:val="0"/>
                          <w:divBdr>
                            <w:top w:val="none" w:sz="0" w:space="0" w:color="auto"/>
                            <w:left w:val="none" w:sz="0" w:space="0" w:color="auto"/>
                            <w:bottom w:val="none" w:sz="0" w:space="0" w:color="auto"/>
                            <w:right w:val="none" w:sz="0" w:space="0" w:color="auto"/>
                          </w:divBdr>
                        </w:div>
                        <w:div w:id="1208223491">
                          <w:marLeft w:val="0"/>
                          <w:marRight w:val="0"/>
                          <w:marTop w:val="0"/>
                          <w:marBottom w:val="0"/>
                          <w:divBdr>
                            <w:top w:val="none" w:sz="0" w:space="0" w:color="auto"/>
                            <w:left w:val="none" w:sz="0" w:space="0" w:color="auto"/>
                            <w:bottom w:val="none" w:sz="0" w:space="0" w:color="auto"/>
                            <w:right w:val="none" w:sz="0" w:space="0" w:color="auto"/>
                          </w:divBdr>
                        </w:div>
                        <w:div w:id="42296308">
                          <w:marLeft w:val="0"/>
                          <w:marRight w:val="0"/>
                          <w:marTop w:val="0"/>
                          <w:marBottom w:val="0"/>
                          <w:divBdr>
                            <w:top w:val="none" w:sz="0" w:space="0" w:color="auto"/>
                            <w:left w:val="none" w:sz="0" w:space="0" w:color="auto"/>
                            <w:bottom w:val="none" w:sz="0" w:space="0" w:color="auto"/>
                            <w:right w:val="none" w:sz="0" w:space="0" w:color="auto"/>
                          </w:divBdr>
                        </w:div>
                        <w:div w:id="910653644">
                          <w:marLeft w:val="0"/>
                          <w:marRight w:val="0"/>
                          <w:marTop w:val="0"/>
                          <w:marBottom w:val="0"/>
                          <w:divBdr>
                            <w:top w:val="none" w:sz="0" w:space="0" w:color="auto"/>
                            <w:left w:val="none" w:sz="0" w:space="0" w:color="auto"/>
                            <w:bottom w:val="none" w:sz="0" w:space="0" w:color="auto"/>
                            <w:right w:val="none" w:sz="0" w:space="0" w:color="auto"/>
                          </w:divBdr>
                        </w:div>
                        <w:div w:id="127586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8649">
                  <w:marLeft w:val="0"/>
                  <w:marRight w:val="0"/>
                  <w:marTop w:val="0"/>
                  <w:marBottom w:val="0"/>
                  <w:divBdr>
                    <w:top w:val="none" w:sz="0" w:space="0" w:color="auto"/>
                    <w:left w:val="none" w:sz="0" w:space="0" w:color="auto"/>
                    <w:bottom w:val="none" w:sz="0" w:space="0" w:color="auto"/>
                    <w:right w:val="none" w:sz="0" w:space="0" w:color="auto"/>
                  </w:divBdr>
                  <w:divsChild>
                    <w:div w:id="2093698335">
                      <w:marLeft w:val="0"/>
                      <w:marRight w:val="0"/>
                      <w:marTop w:val="0"/>
                      <w:marBottom w:val="0"/>
                      <w:divBdr>
                        <w:top w:val="none" w:sz="0" w:space="0" w:color="auto"/>
                        <w:left w:val="none" w:sz="0" w:space="0" w:color="auto"/>
                        <w:bottom w:val="none" w:sz="0" w:space="0" w:color="auto"/>
                        <w:right w:val="none" w:sz="0" w:space="0" w:color="auto"/>
                      </w:divBdr>
                      <w:divsChild>
                        <w:div w:id="770780894">
                          <w:marLeft w:val="0"/>
                          <w:marRight w:val="0"/>
                          <w:marTop w:val="0"/>
                          <w:marBottom w:val="0"/>
                          <w:divBdr>
                            <w:top w:val="none" w:sz="0" w:space="0" w:color="auto"/>
                            <w:left w:val="none" w:sz="0" w:space="0" w:color="auto"/>
                            <w:bottom w:val="none" w:sz="0" w:space="0" w:color="auto"/>
                            <w:right w:val="none" w:sz="0" w:space="0" w:color="auto"/>
                          </w:divBdr>
                        </w:div>
                        <w:div w:id="744768823">
                          <w:marLeft w:val="0"/>
                          <w:marRight w:val="0"/>
                          <w:marTop w:val="0"/>
                          <w:marBottom w:val="0"/>
                          <w:divBdr>
                            <w:top w:val="none" w:sz="0" w:space="0" w:color="auto"/>
                            <w:left w:val="none" w:sz="0" w:space="0" w:color="auto"/>
                            <w:bottom w:val="none" w:sz="0" w:space="0" w:color="auto"/>
                            <w:right w:val="none" w:sz="0" w:space="0" w:color="auto"/>
                          </w:divBdr>
                          <w:divsChild>
                            <w:div w:id="1524515490">
                              <w:marLeft w:val="0"/>
                              <w:marRight w:val="0"/>
                              <w:marTop w:val="0"/>
                              <w:marBottom w:val="0"/>
                              <w:divBdr>
                                <w:top w:val="none" w:sz="0" w:space="0" w:color="auto"/>
                                <w:left w:val="none" w:sz="0" w:space="0" w:color="auto"/>
                                <w:bottom w:val="none" w:sz="0" w:space="0" w:color="auto"/>
                                <w:right w:val="none" w:sz="0" w:space="0" w:color="auto"/>
                              </w:divBdr>
                            </w:div>
                            <w:div w:id="1536574598">
                              <w:marLeft w:val="0"/>
                              <w:marRight w:val="0"/>
                              <w:marTop w:val="0"/>
                              <w:marBottom w:val="0"/>
                              <w:divBdr>
                                <w:top w:val="none" w:sz="0" w:space="0" w:color="auto"/>
                                <w:left w:val="none" w:sz="0" w:space="0" w:color="auto"/>
                                <w:bottom w:val="none" w:sz="0" w:space="0" w:color="auto"/>
                                <w:right w:val="none" w:sz="0" w:space="0" w:color="auto"/>
                              </w:divBdr>
                            </w:div>
                            <w:div w:id="1901331135">
                              <w:marLeft w:val="0"/>
                              <w:marRight w:val="0"/>
                              <w:marTop w:val="0"/>
                              <w:marBottom w:val="0"/>
                              <w:divBdr>
                                <w:top w:val="none" w:sz="0" w:space="0" w:color="auto"/>
                                <w:left w:val="none" w:sz="0" w:space="0" w:color="auto"/>
                                <w:bottom w:val="none" w:sz="0" w:space="0" w:color="auto"/>
                                <w:right w:val="none" w:sz="0" w:space="0" w:color="auto"/>
                              </w:divBdr>
                            </w:div>
                            <w:div w:id="16192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130538">
                  <w:marLeft w:val="0"/>
                  <w:marRight w:val="0"/>
                  <w:marTop w:val="0"/>
                  <w:marBottom w:val="0"/>
                  <w:divBdr>
                    <w:top w:val="none" w:sz="0" w:space="0" w:color="auto"/>
                    <w:left w:val="none" w:sz="0" w:space="0" w:color="auto"/>
                    <w:bottom w:val="none" w:sz="0" w:space="0" w:color="auto"/>
                    <w:right w:val="none" w:sz="0" w:space="0" w:color="auto"/>
                  </w:divBdr>
                  <w:divsChild>
                    <w:div w:id="1757169733">
                      <w:marLeft w:val="0"/>
                      <w:marRight w:val="0"/>
                      <w:marTop w:val="0"/>
                      <w:marBottom w:val="0"/>
                      <w:divBdr>
                        <w:top w:val="none" w:sz="0" w:space="0" w:color="auto"/>
                        <w:left w:val="none" w:sz="0" w:space="0" w:color="auto"/>
                        <w:bottom w:val="none" w:sz="0" w:space="0" w:color="auto"/>
                        <w:right w:val="none" w:sz="0" w:space="0" w:color="auto"/>
                      </w:divBdr>
                      <w:divsChild>
                        <w:div w:id="2115829891">
                          <w:marLeft w:val="0"/>
                          <w:marRight w:val="0"/>
                          <w:marTop w:val="0"/>
                          <w:marBottom w:val="0"/>
                          <w:divBdr>
                            <w:top w:val="none" w:sz="0" w:space="0" w:color="auto"/>
                            <w:left w:val="none" w:sz="0" w:space="0" w:color="auto"/>
                            <w:bottom w:val="none" w:sz="0" w:space="0" w:color="auto"/>
                            <w:right w:val="none" w:sz="0" w:space="0" w:color="auto"/>
                          </w:divBdr>
                        </w:div>
                        <w:div w:id="1420983494">
                          <w:marLeft w:val="0"/>
                          <w:marRight w:val="0"/>
                          <w:marTop w:val="0"/>
                          <w:marBottom w:val="0"/>
                          <w:divBdr>
                            <w:top w:val="none" w:sz="0" w:space="0" w:color="auto"/>
                            <w:left w:val="none" w:sz="0" w:space="0" w:color="auto"/>
                            <w:bottom w:val="none" w:sz="0" w:space="0" w:color="auto"/>
                            <w:right w:val="none" w:sz="0" w:space="0" w:color="auto"/>
                          </w:divBdr>
                          <w:divsChild>
                            <w:div w:id="2110155338">
                              <w:marLeft w:val="0"/>
                              <w:marRight w:val="0"/>
                              <w:marTop w:val="0"/>
                              <w:marBottom w:val="0"/>
                              <w:divBdr>
                                <w:top w:val="none" w:sz="0" w:space="0" w:color="auto"/>
                                <w:left w:val="none" w:sz="0" w:space="0" w:color="auto"/>
                                <w:bottom w:val="none" w:sz="0" w:space="0" w:color="auto"/>
                                <w:right w:val="none" w:sz="0" w:space="0" w:color="auto"/>
                              </w:divBdr>
                            </w:div>
                            <w:div w:id="1340161127">
                              <w:marLeft w:val="0"/>
                              <w:marRight w:val="0"/>
                              <w:marTop w:val="0"/>
                              <w:marBottom w:val="0"/>
                              <w:divBdr>
                                <w:top w:val="none" w:sz="0" w:space="0" w:color="auto"/>
                                <w:left w:val="none" w:sz="0" w:space="0" w:color="auto"/>
                                <w:bottom w:val="none" w:sz="0" w:space="0" w:color="auto"/>
                                <w:right w:val="none" w:sz="0" w:space="0" w:color="auto"/>
                              </w:divBdr>
                            </w:div>
                            <w:div w:id="13768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6832">
                  <w:marLeft w:val="0"/>
                  <w:marRight w:val="0"/>
                  <w:marTop w:val="0"/>
                  <w:marBottom w:val="0"/>
                  <w:divBdr>
                    <w:top w:val="none" w:sz="0" w:space="0" w:color="auto"/>
                    <w:left w:val="none" w:sz="0" w:space="0" w:color="auto"/>
                    <w:bottom w:val="none" w:sz="0" w:space="0" w:color="auto"/>
                    <w:right w:val="none" w:sz="0" w:space="0" w:color="auto"/>
                  </w:divBdr>
                  <w:divsChild>
                    <w:div w:id="1459295066">
                      <w:marLeft w:val="0"/>
                      <w:marRight w:val="0"/>
                      <w:marTop w:val="0"/>
                      <w:marBottom w:val="0"/>
                      <w:divBdr>
                        <w:top w:val="none" w:sz="0" w:space="0" w:color="auto"/>
                        <w:left w:val="none" w:sz="0" w:space="0" w:color="auto"/>
                        <w:bottom w:val="none" w:sz="0" w:space="0" w:color="auto"/>
                        <w:right w:val="none" w:sz="0" w:space="0" w:color="auto"/>
                      </w:divBdr>
                      <w:divsChild>
                        <w:div w:id="2081053663">
                          <w:marLeft w:val="0"/>
                          <w:marRight w:val="0"/>
                          <w:marTop w:val="0"/>
                          <w:marBottom w:val="0"/>
                          <w:divBdr>
                            <w:top w:val="none" w:sz="0" w:space="0" w:color="auto"/>
                            <w:left w:val="none" w:sz="0" w:space="0" w:color="auto"/>
                            <w:bottom w:val="none" w:sz="0" w:space="0" w:color="auto"/>
                            <w:right w:val="none" w:sz="0" w:space="0" w:color="auto"/>
                          </w:divBdr>
                        </w:div>
                        <w:div w:id="785543601">
                          <w:marLeft w:val="0"/>
                          <w:marRight w:val="0"/>
                          <w:marTop w:val="0"/>
                          <w:marBottom w:val="0"/>
                          <w:divBdr>
                            <w:top w:val="none" w:sz="0" w:space="0" w:color="auto"/>
                            <w:left w:val="none" w:sz="0" w:space="0" w:color="auto"/>
                            <w:bottom w:val="none" w:sz="0" w:space="0" w:color="auto"/>
                            <w:right w:val="none" w:sz="0" w:space="0" w:color="auto"/>
                          </w:divBdr>
                        </w:div>
                        <w:div w:id="1314455952">
                          <w:marLeft w:val="0"/>
                          <w:marRight w:val="0"/>
                          <w:marTop w:val="0"/>
                          <w:marBottom w:val="0"/>
                          <w:divBdr>
                            <w:top w:val="none" w:sz="0" w:space="0" w:color="auto"/>
                            <w:left w:val="none" w:sz="0" w:space="0" w:color="auto"/>
                            <w:bottom w:val="none" w:sz="0" w:space="0" w:color="auto"/>
                            <w:right w:val="none" w:sz="0" w:space="0" w:color="auto"/>
                          </w:divBdr>
                        </w:div>
                        <w:div w:id="1511799037">
                          <w:marLeft w:val="0"/>
                          <w:marRight w:val="0"/>
                          <w:marTop w:val="0"/>
                          <w:marBottom w:val="0"/>
                          <w:divBdr>
                            <w:top w:val="none" w:sz="0" w:space="0" w:color="auto"/>
                            <w:left w:val="none" w:sz="0" w:space="0" w:color="auto"/>
                            <w:bottom w:val="none" w:sz="0" w:space="0" w:color="auto"/>
                            <w:right w:val="none" w:sz="0" w:space="0" w:color="auto"/>
                          </w:divBdr>
                          <w:divsChild>
                            <w:div w:id="306205476">
                              <w:marLeft w:val="0"/>
                              <w:marRight w:val="0"/>
                              <w:marTop w:val="0"/>
                              <w:marBottom w:val="0"/>
                              <w:divBdr>
                                <w:top w:val="none" w:sz="0" w:space="0" w:color="auto"/>
                                <w:left w:val="none" w:sz="0" w:space="0" w:color="auto"/>
                                <w:bottom w:val="none" w:sz="0" w:space="0" w:color="auto"/>
                                <w:right w:val="none" w:sz="0" w:space="0" w:color="auto"/>
                              </w:divBdr>
                            </w:div>
                            <w:div w:id="945500339">
                              <w:marLeft w:val="0"/>
                              <w:marRight w:val="0"/>
                              <w:marTop w:val="0"/>
                              <w:marBottom w:val="0"/>
                              <w:divBdr>
                                <w:top w:val="none" w:sz="0" w:space="0" w:color="auto"/>
                                <w:left w:val="none" w:sz="0" w:space="0" w:color="auto"/>
                                <w:bottom w:val="none" w:sz="0" w:space="0" w:color="auto"/>
                                <w:right w:val="none" w:sz="0" w:space="0" w:color="auto"/>
                              </w:divBdr>
                            </w:div>
                            <w:div w:id="1676298604">
                              <w:marLeft w:val="0"/>
                              <w:marRight w:val="0"/>
                              <w:marTop w:val="0"/>
                              <w:marBottom w:val="0"/>
                              <w:divBdr>
                                <w:top w:val="none" w:sz="0" w:space="0" w:color="auto"/>
                                <w:left w:val="none" w:sz="0" w:space="0" w:color="auto"/>
                                <w:bottom w:val="none" w:sz="0" w:space="0" w:color="auto"/>
                                <w:right w:val="none" w:sz="0" w:space="0" w:color="auto"/>
                              </w:divBdr>
                            </w:div>
                            <w:div w:id="1571382807">
                              <w:marLeft w:val="0"/>
                              <w:marRight w:val="0"/>
                              <w:marTop w:val="0"/>
                              <w:marBottom w:val="0"/>
                              <w:divBdr>
                                <w:top w:val="none" w:sz="0" w:space="0" w:color="auto"/>
                                <w:left w:val="none" w:sz="0" w:space="0" w:color="auto"/>
                                <w:bottom w:val="none" w:sz="0" w:space="0" w:color="auto"/>
                                <w:right w:val="none" w:sz="0" w:space="0" w:color="auto"/>
                              </w:divBdr>
                            </w:div>
                            <w:div w:id="927276297">
                              <w:marLeft w:val="0"/>
                              <w:marRight w:val="0"/>
                              <w:marTop w:val="0"/>
                              <w:marBottom w:val="0"/>
                              <w:divBdr>
                                <w:top w:val="none" w:sz="0" w:space="0" w:color="auto"/>
                                <w:left w:val="none" w:sz="0" w:space="0" w:color="auto"/>
                                <w:bottom w:val="none" w:sz="0" w:space="0" w:color="auto"/>
                                <w:right w:val="none" w:sz="0" w:space="0" w:color="auto"/>
                              </w:divBdr>
                            </w:div>
                            <w:div w:id="1817646117">
                              <w:marLeft w:val="0"/>
                              <w:marRight w:val="0"/>
                              <w:marTop w:val="0"/>
                              <w:marBottom w:val="0"/>
                              <w:divBdr>
                                <w:top w:val="none" w:sz="0" w:space="0" w:color="auto"/>
                                <w:left w:val="none" w:sz="0" w:space="0" w:color="auto"/>
                                <w:bottom w:val="none" w:sz="0" w:space="0" w:color="auto"/>
                                <w:right w:val="none" w:sz="0" w:space="0" w:color="auto"/>
                              </w:divBdr>
                            </w:div>
                          </w:divsChild>
                        </w:div>
                        <w:div w:id="1455521443">
                          <w:marLeft w:val="0"/>
                          <w:marRight w:val="0"/>
                          <w:marTop w:val="0"/>
                          <w:marBottom w:val="0"/>
                          <w:divBdr>
                            <w:top w:val="none" w:sz="0" w:space="0" w:color="auto"/>
                            <w:left w:val="none" w:sz="0" w:space="0" w:color="auto"/>
                            <w:bottom w:val="none" w:sz="0" w:space="0" w:color="auto"/>
                            <w:right w:val="none" w:sz="0" w:space="0" w:color="auto"/>
                          </w:divBdr>
                        </w:div>
                        <w:div w:id="1559970115">
                          <w:marLeft w:val="0"/>
                          <w:marRight w:val="0"/>
                          <w:marTop w:val="0"/>
                          <w:marBottom w:val="0"/>
                          <w:divBdr>
                            <w:top w:val="none" w:sz="0" w:space="0" w:color="auto"/>
                            <w:left w:val="none" w:sz="0" w:space="0" w:color="auto"/>
                            <w:bottom w:val="none" w:sz="0" w:space="0" w:color="auto"/>
                            <w:right w:val="none" w:sz="0" w:space="0" w:color="auto"/>
                          </w:divBdr>
                        </w:div>
                        <w:div w:id="1102797714">
                          <w:marLeft w:val="0"/>
                          <w:marRight w:val="0"/>
                          <w:marTop w:val="0"/>
                          <w:marBottom w:val="0"/>
                          <w:divBdr>
                            <w:top w:val="none" w:sz="0" w:space="0" w:color="auto"/>
                            <w:left w:val="none" w:sz="0" w:space="0" w:color="auto"/>
                            <w:bottom w:val="none" w:sz="0" w:space="0" w:color="auto"/>
                            <w:right w:val="none" w:sz="0" w:space="0" w:color="auto"/>
                          </w:divBdr>
                        </w:div>
                        <w:div w:id="572158722">
                          <w:marLeft w:val="0"/>
                          <w:marRight w:val="0"/>
                          <w:marTop w:val="0"/>
                          <w:marBottom w:val="0"/>
                          <w:divBdr>
                            <w:top w:val="none" w:sz="0" w:space="0" w:color="auto"/>
                            <w:left w:val="none" w:sz="0" w:space="0" w:color="auto"/>
                            <w:bottom w:val="none" w:sz="0" w:space="0" w:color="auto"/>
                            <w:right w:val="none" w:sz="0" w:space="0" w:color="auto"/>
                          </w:divBdr>
                        </w:div>
                        <w:div w:id="814830981">
                          <w:marLeft w:val="0"/>
                          <w:marRight w:val="0"/>
                          <w:marTop w:val="0"/>
                          <w:marBottom w:val="0"/>
                          <w:divBdr>
                            <w:top w:val="none" w:sz="0" w:space="0" w:color="auto"/>
                            <w:left w:val="none" w:sz="0" w:space="0" w:color="auto"/>
                            <w:bottom w:val="none" w:sz="0" w:space="0" w:color="auto"/>
                            <w:right w:val="none" w:sz="0" w:space="0" w:color="auto"/>
                          </w:divBdr>
                        </w:div>
                        <w:div w:id="2120446222">
                          <w:marLeft w:val="0"/>
                          <w:marRight w:val="0"/>
                          <w:marTop w:val="0"/>
                          <w:marBottom w:val="0"/>
                          <w:divBdr>
                            <w:top w:val="none" w:sz="0" w:space="0" w:color="auto"/>
                            <w:left w:val="none" w:sz="0" w:space="0" w:color="auto"/>
                            <w:bottom w:val="none" w:sz="0" w:space="0" w:color="auto"/>
                            <w:right w:val="none" w:sz="0" w:space="0" w:color="auto"/>
                          </w:divBdr>
                        </w:div>
                        <w:div w:id="1028869865">
                          <w:marLeft w:val="0"/>
                          <w:marRight w:val="0"/>
                          <w:marTop w:val="0"/>
                          <w:marBottom w:val="0"/>
                          <w:divBdr>
                            <w:top w:val="none" w:sz="0" w:space="0" w:color="auto"/>
                            <w:left w:val="none" w:sz="0" w:space="0" w:color="auto"/>
                            <w:bottom w:val="none" w:sz="0" w:space="0" w:color="auto"/>
                            <w:right w:val="none" w:sz="0" w:space="0" w:color="auto"/>
                          </w:divBdr>
                        </w:div>
                        <w:div w:id="1688289943">
                          <w:marLeft w:val="0"/>
                          <w:marRight w:val="0"/>
                          <w:marTop w:val="0"/>
                          <w:marBottom w:val="0"/>
                          <w:divBdr>
                            <w:top w:val="none" w:sz="0" w:space="0" w:color="auto"/>
                            <w:left w:val="none" w:sz="0" w:space="0" w:color="auto"/>
                            <w:bottom w:val="none" w:sz="0" w:space="0" w:color="auto"/>
                            <w:right w:val="none" w:sz="0" w:space="0" w:color="auto"/>
                          </w:divBdr>
                        </w:div>
                        <w:div w:id="1122967342">
                          <w:marLeft w:val="0"/>
                          <w:marRight w:val="0"/>
                          <w:marTop w:val="0"/>
                          <w:marBottom w:val="0"/>
                          <w:divBdr>
                            <w:top w:val="none" w:sz="0" w:space="0" w:color="auto"/>
                            <w:left w:val="none" w:sz="0" w:space="0" w:color="auto"/>
                            <w:bottom w:val="none" w:sz="0" w:space="0" w:color="auto"/>
                            <w:right w:val="none" w:sz="0" w:space="0" w:color="auto"/>
                          </w:divBdr>
                        </w:div>
                        <w:div w:id="1097746927">
                          <w:marLeft w:val="0"/>
                          <w:marRight w:val="0"/>
                          <w:marTop w:val="0"/>
                          <w:marBottom w:val="0"/>
                          <w:divBdr>
                            <w:top w:val="none" w:sz="0" w:space="0" w:color="auto"/>
                            <w:left w:val="none" w:sz="0" w:space="0" w:color="auto"/>
                            <w:bottom w:val="none" w:sz="0" w:space="0" w:color="auto"/>
                            <w:right w:val="none" w:sz="0" w:space="0" w:color="auto"/>
                          </w:divBdr>
                        </w:div>
                        <w:div w:id="1936130052">
                          <w:marLeft w:val="0"/>
                          <w:marRight w:val="0"/>
                          <w:marTop w:val="0"/>
                          <w:marBottom w:val="0"/>
                          <w:divBdr>
                            <w:top w:val="none" w:sz="0" w:space="0" w:color="auto"/>
                            <w:left w:val="none" w:sz="0" w:space="0" w:color="auto"/>
                            <w:bottom w:val="none" w:sz="0" w:space="0" w:color="auto"/>
                            <w:right w:val="none" w:sz="0" w:space="0" w:color="auto"/>
                          </w:divBdr>
                        </w:div>
                        <w:div w:id="5106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7703">
              <w:marLeft w:val="0"/>
              <w:marRight w:val="0"/>
              <w:marTop w:val="0"/>
              <w:marBottom w:val="0"/>
              <w:divBdr>
                <w:top w:val="none" w:sz="0" w:space="0" w:color="auto"/>
                <w:left w:val="none" w:sz="0" w:space="0" w:color="auto"/>
                <w:bottom w:val="none" w:sz="0" w:space="0" w:color="auto"/>
                <w:right w:val="none" w:sz="0" w:space="0" w:color="auto"/>
              </w:divBdr>
              <w:divsChild>
                <w:div w:id="1811167506">
                  <w:marLeft w:val="0"/>
                  <w:marRight w:val="0"/>
                  <w:marTop w:val="0"/>
                  <w:marBottom w:val="0"/>
                  <w:divBdr>
                    <w:top w:val="none" w:sz="0" w:space="0" w:color="auto"/>
                    <w:left w:val="none" w:sz="0" w:space="0" w:color="auto"/>
                    <w:bottom w:val="none" w:sz="0" w:space="0" w:color="auto"/>
                    <w:right w:val="none" w:sz="0" w:space="0" w:color="auto"/>
                  </w:divBdr>
                </w:div>
              </w:divsChild>
            </w:div>
            <w:div w:id="1794129787">
              <w:marLeft w:val="0"/>
              <w:marRight w:val="0"/>
              <w:marTop w:val="0"/>
              <w:marBottom w:val="0"/>
              <w:divBdr>
                <w:top w:val="none" w:sz="0" w:space="0" w:color="auto"/>
                <w:left w:val="none" w:sz="0" w:space="0" w:color="auto"/>
                <w:bottom w:val="none" w:sz="0" w:space="0" w:color="auto"/>
                <w:right w:val="none" w:sz="0" w:space="0" w:color="auto"/>
              </w:divBdr>
              <w:divsChild>
                <w:div w:id="691498114">
                  <w:marLeft w:val="0"/>
                  <w:marRight w:val="0"/>
                  <w:marTop w:val="0"/>
                  <w:marBottom w:val="0"/>
                  <w:divBdr>
                    <w:top w:val="none" w:sz="0" w:space="0" w:color="auto"/>
                    <w:left w:val="none" w:sz="0" w:space="0" w:color="auto"/>
                    <w:bottom w:val="none" w:sz="0" w:space="0" w:color="auto"/>
                    <w:right w:val="none" w:sz="0" w:space="0" w:color="auto"/>
                  </w:divBdr>
                </w:div>
                <w:div w:id="146094023">
                  <w:marLeft w:val="0"/>
                  <w:marRight w:val="0"/>
                  <w:marTop w:val="0"/>
                  <w:marBottom w:val="0"/>
                  <w:divBdr>
                    <w:top w:val="none" w:sz="0" w:space="0" w:color="auto"/>
                    <w:left w:val="none" w:sz="0" w:space="0" w:color="auto"/>
                    <w:bottom w:val="none" w:sz="0" w:space="0" w:color="auto"/>
                    <w:right w:val="none" w:sz="0" w:space="0" w:color="auto"/>
                  </w:divBdr>
                  <w:divsChild>
                    <w:div w:id="1658992504">
                      <w:marLeft w:val="0"/>
                      <w:marRight w:val="0"/>
                      <w:marTop w:val="0"/>
                      <w:marBottom w:val="0"/>
                      <w:divBdr>
                        <w:top w:val="none" w:sz="0" w:space="0" w:color="auto"/>
                        <w:left w:val="none" w:sz="0" w:space="0" w:color="auto"/>
                        <w:bottom w:val="none" w:sz="0" w:space="0" w:color="auto"/>
                        <w:right w:val="none" w:sz="0" w:space="0" w:color="auto"/>
                      </w:divBdr>
                    </w:div>
                    <w:div w:id="496655928">
                      <w:marLeft w:val="0"/>
                      <w:marRight w:val="0"/>
                      <w:marTop w:val="0"/>
                      <w:marBottom w:val="0"/>
                      <w:divBdr>
                        <w:top w:val="none" w:sz="0" w:space="0" w:color="auto"/>
                        <w:left w:val="none" w:sz="0" w:space="0" w:color="auto"/>
                        <w:bottom w:val="none" w:sz="0" w:space="0" w:color="auto"/>
                        <w:right w:val="none" w:sz="0" w:space="0" w:color="auto"/>
                      </w:divBdr>
                    </w:div>
                    <w:div w:id="464273732">
                      <w:marLeft w:val="0"/>
                      <w:marRight w:val="0"/>
                      <w:marTop w:val="0"/>
                      <w:marBottom w:val="0"/>
                      <w:divBdr>
                        <w:top w:val="none" w:sz="0" w:space="0" w:color="auto"/>
                        <w:left w:val="none" w:sz="0" w:space="0" w:color="auto"/>
                        <w:bottom w:val="none" w:sz="0" w:space="0" w:color="auto"/>
                        <w:right w:val="none" w:sz="0" w:space="0" w:color="auto"/>
                      </w:divBdr>
                    </w:div>
                    <w:div w:id="15884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038">
              <w:marLeft w:val="0"/>
              <w:marRight w:val="0"/>
              <w:marTop w:val="0"/>
              <w:marBottom w:val="0"/>
              <w:divBdr>
                <w:top w:val="none" w:sz="0" w:space="0" w:color="auto"/>
                <w:left w:val="none" w:sz="0" w:space="0" w:color="auto"/>
                <w:bottom w:val="none" w:sz="0" w:space="0" w:color="auto"/>
                <w:right w:val="none" w:sz="0" w:space="0" w:color="auto"/>
              </w:divBdr>
              <w:divsChild>
                <w:div w:id="999381314">
                  <w:marLeft w:val="0"/>
                  <w:marRight w:val="0"/>
                  <w:marTop w:val="0"/>
                  <w:marBottom w:val="0"/>
                  <w:divBdr>
                    <w:top w:val="none" w:sz="0" w:space="0" w:color="auto"/>
                    <w:left w:val="none" w:sz="0" w:space="0" w:color="auto"/>
                    <w:bottom w:val="none" w:sz="0" w:space="0" w:color="auto"/>
                    <w:right w:val="none" w:sz="0" w:space="0" w:color="auto"/>
                  </w:divBdr>
                  <w:divsChild>
                    <w:div w:id="1124351905">
                      <w:marLeft w:val="0"/>
                      <w:marRight w:val="0"/>
                      <w:marTop w:val="0"/>
                      <w:marBottom w:val="0"/>
                      <w:divBdr>
                        <w:top w:val="none" w:sz="0" w:space="0" w:color="auto"/>
                        <w:left w:val="none" w:sz="0" w:space="0" w:color="auto"/>
                        <w:bottom w:val="none" w:sz="0" w:space="0" w:color="auto"/>
                        <w:right w:val="none" w:sz="0" w:space="0" w:color="auto"/>
                      </w:divBdr>
                    </w:div>
                    <w:div w:id="260989766">
                      <w:marLeft w:val="0"/>
                      <w:marRight w:val="0"/>
                      <w:marTop w:val="0"/>
                      <w:marBottom w:val="0"/>
                      <w:divBdr>
                        <w:top w:val="none" w:sz="0" w:space="0" w:color="auto"/>
                        <w:left w:val="none" w:sz="0" w:space="0" w:color="auto"/>
                        <w:bottom w:val="none" w:sz="0" w:space="0" w:color="auto"/>
                        <w:right w:val="none" w:sz="0" w:space="0" w:color="auto"/>
                      </w:divBdr>
                    </w:div>
                    <w:div w:id="44782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sdmanuals.com/es-ar/professional/enfermedades-infecciosas/biolog%C3%ADa-de-las-enfermedades-infecciosas/fiebre-de-origen-desconocido-f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sdmanuals.com/es-ar/professional/enfermedades-infecciosas/biolog%C3%ADa-de-las-enfermedades-infecciosas/fiebre-de-origen-desconocido-fod" TargetMode="External"/><Relationship Id="rId5" Type="http://schemas.openxmlformats.org/officeDocument/2006/relationships/hyperlink" Target="https://www.msdmanuals.com/es-ar/professional/enfermedades-infecciosas/biolog%C3%ADa-de-las-enfermedades-infecciosas/fiebre-de-origen-desconocido-fo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3609</Words>
  <Characters>19854</Characters>
  <Application>Microsoft Office Word</Application>
  <DocSecurity>0</DocSecurity>
  <Lines>165</Lines>
  <Paragraphs>46</Paragraphs>
  <ScaleCrop>false</ScaleCrop>
  <Company/>
  <LinksUpToDate>false</LinksUpToDate>
  <CharactersWithSpaces>23417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2018-10-23T12:57:00Z</dcterms:created>
  <dcterms:modified xsi:type="dcterms:W3CDTF">2018-10-23T12:57:00Z</dcterms:modified>
</cp:coreProperties>
</file>